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88361" w14:textId="7866DF7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AD420B">
        <w:t>4</w:t>
      </w:r>
      <w:r w:rsidR="005640C9">
        <w:t>-</w:t>
      </w:r>
      <w:r w:rsidR="00F20F5C">
        <w:t>e</w:t>
      </w:r>
      <w:r w:rsidRPr="00CE0424">
        <w:tab/>
      </w:r>
      <w:r w:rsidR="008B32F7" w:rsidRPr="008B32F7">
        <w:rPr>
          <w:sz w:val="32"/>
          <w:szCs w:val="32"/>
        </w:rPr>
        <w:t>R2-2105974</w:t>
      </w:r>
      <w:bookmarkStart w:id="0" w:name="_GoBack"/>
      <w:bookmarkEnd w:id="0"/>
    </w:p>
    <w:p w14:paraId="2E74E519" w14:textId="0D6295C2" w:rsidR="00E90E49" w:rsidRPr="00CE0424" w:rsidRDefault="00C268E6" w:rsidP="00311702">
      <w:pPr>
        <w:pStyle w:val="3GPPHeader"/>
      </w:pPr>
      <w:r>
        <w:t xml:space="preserve">Electronic meeting, </w:t>
      </w:r>
      <w:r w:rsidR="00D9310F" w:rsidRPr="00D9310F">
        <w:t>2021-0</w:t>
      </w:r>
      <w:r w:rsidR="00AD420B">
        <w:t>5</w:t>
      </w:r>
      <w:r w:rsidR="00D9310F" w:rsidRPr="00D9310F">
        <w:t>-</w:t>
      </w:r>
      <w:r w:rsidR="005640C9">
        <w:t>1</w:t>
      </w:r>
      <w:r w:rsidR="00AD420B">
        <w:t>9</w:t>
      </w:r>
      <w:r w:rsidR="005640C9">
        <w:t xml:space="preserve"> – 2021-0</w:t>
      </w:r>
      <w:r w:rsidR="00B00198">
        <w:t>5</w:t>
      </w:r>
      <w:r w:rsidR="005640C9">
        <w:t>-</w:t>
      </w:r>
      <w:r w:rsidR="001F5693">
        <w:t>2</w:t>
      </w:r>
      <w:r w:rsidR="00B00198">
        <w:t>7</w:t>
      </w:r>
    </w:p>
    <w:p w14:paraId="5585C726" w14:textId="77777777" w:rsidR="00E90E49" w:rsidRPr="00CE0424" w:rsidRDefault="00E90E49" w:rsidP="00357380">
      <w:pPr>
        <w:pStyle w:val="3GPPHeader"/>
      </w:pPr>
    </w:p>
    <w:p w14:paraId="0835D932" w14:textId="31F06C7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C0658">
        <w:rPr>
          <w:sz w:val="22"/>
          <w:szCs w:val="22"/>
        </w:rPr>
        <w:t>8.11.</w:t>
      </w:r>
      <w:r w:rsidR="00AA79A4">
        <w:rPr>
          <w:sz w:val="22"/>
          <w:szCs w:val="22"/>
        </w:rPr>
        <w:t>7</w:t>
      </w:r>
    </w:p>
    <w:p w14:paraId="14DA053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B06F5B6" w14:textId="5564FF2B" w:rsidR="00E90E49" w:rsidRPr="00CE0424" w:rsidRDefault="003D3C45" w:rsidP="00311702">
      <w:pPr>
        <w:pStyle w:val="3GPPHeader"/>
        <w:rPr>
          <w:sz w:val="22"/>
          <w:szCs w:val="22"/>
        </w:rPr>
      </w:pPr>
      <w:r>
        <w:rPr>
          <w:sz w:val="22"/>
          <w:szCs w:val="22"/>
        </w:rPr>
        <w:t>Title:</w:t>
      </w:r>
      <w:r w:rsidR="00E90E49" w:rsidRPr="00CE0424">
        <w:rPr>
          <w:sz w:val="22"/>
          <w:szCs w:val="22"/>
        </w:rPr>
        <w:tab/>
      </w:r>
      <w:r w:rsidR="00AC0658">
        <w:rPr>
          <w:sz w:val="22"/>
          <w:szCs w:val="22"/>
        </w:rPr>
        <w:t xml:space="preserve">On </w:t>
      </w:r>
      <w:r w:rsidR="00FF1F07">
        <w:rPr>
          <w:sz w:val="22"/>
          <w:szCs w:val="22"/>
        </w:rPr>
        <w:t>High Accuracy</w:t>
      </w:r>
      <w:r w:rsidR="00AC0658">
        <w:rPr>
          <w:sz w:val="22"/>
          <w:szCs w:val="22"/>
        </w:rPr>
        <w:t xml:space="preserve"> Aspects</w:t>
      </w:r>
    </w:p>
    <w:p w14:paraId="250CFBB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C0658">
        <w:rPr>
          <w:sz w:val="22"/>
          <w:szCs w:val="22"/>
        </w:rPr>
        <w:t>Discussion, Decision</w:t>
      </w:r>
    </w:p>
    <w:p w14:paraId="7E2188F2" w14:textId="77777777" w:rsidR="00E90E49" w:rsidRPr="00CE0424" w:rsidRDefault="00E90E49" w:rsidP="00E90E49"/>
    <w:p w14:paraId="678FBA93" w14:textId="77777777" w:rsidR="00E90E49" w:rsidRDefault="00230D18" w:rsidP="00CE0424">
      <w:pPr>
        <w:pStyle w:val="Heading1"/>
      </w:pPr>
      <w:r>
        <w:t>1</w:t>
      </w:r>
      <w:r>
        <w:tab/>
      </w:r>
      <w:r w:rsidR="00E90E49" w:rsidRPr="00CE0424">
        <w:t>Introduction</w:t>
      </w:r>
    </w:p>
    <w:p w14:paraId="0FF5939D" w14:textId="77777777" w:rsidR="00285269" w:rsidRDefault="00285269" w:rsidP="00285269">
      <w:pPr>
        <w:pStyle w:val="3GPPText"/>
        <w:rPr>
          <w:lang w:eastAsia="ja-JP"/>
        </w:rPr>
      </w:pPr>
      <w:r>
        <w:t xml:space="preserve">High accuracy is one of the main agendas for Rel-17. </w:t>
      </w:r>
      <w:r>
        <w:rPr>
          <w:rFonts w:hint="eastAsia"/>
          <w:lang w:eastAsia="zh-CN"/>
        </w:rPr>
        <w:t>T</w:t>
      </w:r>
      <w:r>
        <w:rPr>
          <w:lang w:eastAsia="ja-JP"/>
        </w:rPr>
        <w:t xml:space="preserve">he </w:t>
      </w:r>
      <w:r>
        <w:rPr>
          <w:rFonts w:hint="eastAsia"/>
          <w:lang w:eastAsia="zh-CN"/>
        </w:rPr>
        <w:t>WID</w:t>
      </w:r>
      <w:r w:rsidRPr="00942D09">
        <w:rPr>
          <w:lang w:eastAsia="ja-JP"/>
        </w:rPr>
        <w:t xml:space="preserve"> includes the following </w:t>
      </w:r>
      <w:r>
        <w:rPr>
          <w:lang w:eastAsia="ja-JP"/>
        </w:rPr>
        <w:t>ob</w:t>
      </w:r>
      <w:r w:rsidRPr="00C16397">
        <w:rPr>
          <w:lang w:eastAsia="ja-JP"/>
        </w:rPr>
        <w:t>jectives</w:t>
      </w:r>
      <w:r>
        <w:rPr>
          <w:rFonts w:hint="eastAsia"/>
          <w:lang w:eastAsia="zh-CN"/>
        </w:rPr>
        <w:t xml:space="preserve"> </w:t>
      </w:r>
      <w:r>
        <w:rPr>
          <w:lang w:eastAsia="zh-CN"/>
        </w:rPr>
        <w:t>to achieve high accuracy</w:t>
      </w:r>
      <w:r>
        <w:rPr>
          <w:lang w:eastAsia="ja-JP"/>
        </w:rPr>
        <w:t>. The objective is RAN1 centric; however, it will also have RAN2 impacts.</w:t>
      </w:r>
    </w:p>
    <w:tbl>
      <w:tblPr>
        <w:tblStyle w:val="TableGrid"/>
        <w:tblW w:w="0" w:type="auto"/>
        <w:tblInd w:w="108" w:type="dxa"/>
        <w:tblLook w:val="04A0" w:firstRow="1" w:lastRow="0" w:firstColumn="1" w:lastColumn="0" w:noHBand="0" w:noVBand="1"/>
      </w:tblPr>
      <w:tblGrid>
        <w:gridCol w:w="9521"/>
      </w:tblGrid>
      <w:tr w:rsidR="00285269" w14:paraId="59F1ED5F" w14:textId="77777777" w:rsidTr="00C57B5F">
        <w:tc>
          <w:tcPr>
            <w:tcW w:w="10065" w:type="dxa"/>
          </w:tcPr>
          <w:p w14:paraId="5B2CAB53" w14:textId="77777777" w:rsidR="00285269" w:rsidRDefault="00285269" w:rsidP="00C57B5F">
            <w:pPr>
              <w:spacing w:before="120" w:line="280" w:lineRule="atLeast"/>
              <w:jc w:val="both"/>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sidRPr="00D835E3">
              <w:t>The specific objectives of this work are:</w:t>
            </w:r>
          </w:p>
          <w:p w14:paraId="5BB57F52" w14:textId="77777777" w:rsidR="00285269" w:rsidRDefault="00285269" w:rsidP="00C57B5F">
            <w:pPr>
              <w:spacing w:before="120" w:line="280" w:lineRule="atLeast"/>
              <w:jc w:val="both"/>
              <w:rPr>
                <w:u w:val="single"/>
                <w:lang w:eastAsia="ko-KR"/>
              </w:rPr>
            </w:pPr>
            <w:bookmarkStart w:id="1" w:name="_Hlk57059510"/>
            <w:r w:rsidRPr="00057F88">
              <w:rPr>
                <w:u w:val="single"/>
                <w:lang w:eastAsia="ko-KR"/>
              </w:rPr>
              <w:t>RAN1 centric objectives</w:t>
            </w:r>
            <w:r>
              <w:rPr>
                <w:u w:val="single"/>
                <w:lang w:eastAsia="ko-KR"/>
              </w:rPr>
              <w:t>:</w:t>
            </w:r>
          </w:p>
          <w:p w14:paraId="5CE24368" w14:textId="77777777" w:rsidR="00285269" w:rsidRDefault="00285269" w:rsidP="00C57B5F">
            <w:pPr>
              <w:spacing w:before="120" w:line="280" w:lineRule="atLeast"/>
              <w:jc w:val="both"/>
            </w:pPr>
          </w:p>
          <w:bookmarkEnd w:id="1"/>
          <w:p w14:paraId="6F40C5B8" w14:textId="77777777" w:rsidR="00285269" w:rsidRPr="00F2085B" w:rsidRDefault="00285269" w:rsidP="00367F78">
            <w:pPr>
              <w:numPr>
                <w:ilvl w:val="0"/>
                <w:numId w:val="26"/>
              </w:numPr>
              <w:rPr>
                <w:rFonts w:eastAsia="MS Mincho"/>
              </w:rPr>
            </w:pPr>
            <w:r w:rsidRPr="00F2085B">
              <w:rPr>
                <w:rFonts w:eastAsia="MS Mincho"/>
              </w:rPr>
              <w:t>Specify methods, measurements, signalling, and procedures for improving positioning accuracy of the Rel-16 NR positioning methods by mitigating UE Rx/Tx and/or gNB Rx/Tx timing delays, including</w:t>
            </w:r>
            <w:r>
              <w:rPr>
                <w:rFonts w:eastAsia="MS Mincho"/>
              </w:rPr>
              <w:t>[</w:t>
            </w:r>
            <w:r w:rsidRPr="00F448EE">
              <w:rPr>
                <w:rFonts w:eastAsia="MS Mincho"/>
              </w:rPr>
              <w:t>RAN1</w:t>
            </w:r>
            <w:r>
              <w:rPr>
                <w:rFonts w:eastAsia="MS Mincho"/>
              </w:rPr>
              <w:t>]</w:t>
            </w:r>
          </w:p>
          <w:p w14:paraId="22EE14FD" w14:textId="77777777" w:rsidR="00285269" w:rsidRPr="002D48F3" w:rsidRDefault="00285269" w:rsidP="00367F78">
            <w:pPr>
              <w:numPr>
                <w:ilvl w:val="1"/>
                <w:numId w:val="26"/>
              </w:numPr>
              <w:overflowPunct/>
              <w:autoSpaceDE/>
              <w:autoSpaceDN/>
              <w:adjustRightInd/>
              <w:spacing w:after="0" w:line="276" w:lineRule="auto"/>
              <w:textAlignment w:val="auto"/>
              <w:rPr>
                <w:rFonts w:eastAsia="MS Mincho"/>
              </w:rPr>
            </w:pPr>
            <w:r>
              <w:rPr>
                <w:rFonts w:hint="eastAsia"/>
              </w:rPr>
              <w:t>DL, UL and DL+UL positioning methods</w:t>
            </w:r>
          </w:p>
          <w:p w14:paraId="22A7EC2D" w14:textId="77777777" w:rsidR="00285269" w:rsidRPr="001356DA" w:rsidRDefault="00285269" w:rsidP="00367F78">
            <w:pPr>
              <w:numPr>
                <w:ilvl w:val="1"/>
                <w:numId w:val="26"/>
              </w:numPr>
              <w:overflowPunct/>
              <w:autoSpaceDE/>
              <w:autoSpaceDN/>
              <w:adjustRightInd/>
              <w:spacing w:after="0" w:line="276" w:lineRule="auto"/>
              <w:textAlignment w:val="auto"/>
              <w:rPr>
                <w:rFonts w:eastAsia="MS Mincho"/>
              </w:rPr>
            </w:pPr>
            <w:r>
              <w:rPr>
                <w:rFonts w:hint="eastAsia"/>
              </w:rPr>
              <w:t>UE-based and UE-assisted positioning solutions</w:t>
            </w:r>
          </w:p>
          <w:p w14:paraId="1F1C5204" w14:textId="77777777" w:rsidR="00285269" w:rsidRPr="002D48F3" w:rsidRDefault="00285269" w:rsidP="00C57B5F">
            <w:pPr>
              <w:spacing w:line="276" w:lineRule="auto"/>
              <w:ind w:left="1440"/>
              <w:rPr>
                <w:rFonts w:eastAsia="MS Mincho"/>
              </w:rPr>
            </w:pPr>
          </w:p>
          <w:p w14:paraId="1C832ADD" w14:textId="77777777" w:rsidR="00285269" w:rsidRPr="00B95FAB" w:rsidRDefault="00285269" w:rsidP="00367F78">
            <w:pPr>
              <w:numPr>
                <w:ilvl w:val="0"/>
                <w:numId w:val="26"/>
              </w:numPr>
              <w:rPr>
                <w:rFonts w:eastAsia="MS Mincho"/>
              </w:rPr>
            </w:pPr>
            <w:r>
              <w:rPr>
                <w:rFonts w:eastAsia="MS Mincho"/>
              </w:rPr>
              <w:t xml:space="preserve">Specify the </w:t>
            </w:r>
            <w:r w:rsidRPr="00B95FAB">
              <w:rPr>
                <w:rFonts w:eastAsia="MS Mincho" w:hint="eastAsia"/>
              </w:rPr>
              <w:t>procedure, measurements, reporting, and signalling</w:t>
            </w:r>
            <w:r>
              <w:rPr>
                <w:rFonts w:eastAsiaTheme="minorEastAsia" w:hint="eastAsia"/>
                <w:lang w:eastAsia="zh-CN"/>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6F1017BB" w14:textId="77777777" w:rsidR="00285269" w:rsidRPr="00B95FAB" w:rsidRDefault="00285269" w:rsidP="00367F78">
            <w:pPr>
              <w:numPr>
                <w:ilvl w:val="1"/>
                <w:numId w:val="26"/>
              </w:numPr>
              <w:rPr>
                <w:rFonts w:eastAsia="MS Mincho"/>
              </w:rPr>
            </w:pPr>
            <w:r w:rsidRPr="00B95FAB">
              <w:rPr>
                <w:rFonts w:eastAsia="MS Mincho" w:hint="eastAsia"/>
              </w:rPr>
              <w:t>UL AoA for network-based positioning solutions.</w:t>
            </w:r>
          </w:p>
          <w:p w14:paraId="576B4AA8" w14:textId="77777777" w:rsidR="00285269" w:rsidRDefault="00285269" w:rsidP="00367F78">
            <w:pPr>
              <w:numPr>
                <w:ilvl w:val="1"/>
                <w:numId w:val="26"/>
              </w:numPr>
              <w:rPr>
                <w:rFonts w:eastAsia="MS Mincho"/>
              </w:rPr>
            </w:pPr>
            <w:r w:rsidRPr="00B95FAB">
              <w:rPr>
                <w:rFonts w:eastAsia="MS Mincho" w:hint="eastAsia"/>
              </w:rPr>
              <w:t>DL-AoD for UE-based and network-based (including UE-assisted) positioning solutions.</w:t>
            </w:r>
          </w:p>
          <w:p w14:paraId="4A1BF442" w14:textId="77777777" w:rsidR="00285269" w:rsidRDefault="00285269" w:rsidP="00C57B5F">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p w14:paraId="2D767107" w14:textId="77777777" w:rsidR="00285269" w:rsidRPr="003D4F15" w:rsidRDefault="00285269" w:rsidP="00C57B5F">
            <w:pPr>
              <w:spacing w:before="120" w:line="280" w:lineRule="atLeast"/>
              <w:contextualSpacing/>
              <w:jc w:val="both"/>
              <w:rPr>
                <w:lang w:eastAsia="ko-KR"/>
              </w:rPr>
            </w:pPr>
          </w:p>
          <w:p w14:paraId="79B6C678" w14:textId="77777777" w:rsidR="00367F78" w:rsidRDefault="00367F78" w:rsidP="00367F78">
            <w:pPr>
              <w:numPr>
                <w:ilvl w:val="0"/>
                <w:numId w:val="26"/>
              </w:numPr>
              <w:overflowPunct/>
              <w:autoSpaceDE/>
              <w:autoSpaceDN/>
              <w:adjustRightInd/>
              <w:spacing w:after="160" w:line="256" w:lineRule="auto"/>
              <w:textAlignment w:val="auto"/>
              <w:rPr>
                <w:rFonts w:eastAsia="MS Mincho"/>
                <w:lang w:eastAsia="en-US"/>
              </w:rPr>
            </w:pPr>
            <w:r>
              <w:rPr>
                <w:rFonts w:eastAsia="MS Mincho"/>
              </w:rPr>
              <w:t>Study and specify, if agreed, the enhancements of information reporting from UE and gNB for multipath/NLOS mitigation [RAN1, RAN2, RAN3]</w:t>
            </w:r>
          </w:p>
          <w:p w14:paraId="5B80094E" w14:textId="77777777" w:rsidR="00285269" w:rsidRPr="005D05A0" w:rsidRDefault="00285269" w:rsidP="00367F78">
            <w:pPr>
              <w:pStyle w:val="3GPPAgreements"/>
              <w:numPr>
                <w:ilvl w:val="0"/>
                <w:numId w:val="0"/>
              </w:numPr>
              <w:overflowPunct w:val="0"/>
              <w:autoSpaceDE w:val="0"/>
              <w:autoSpaceDN w:val="0"/>
              <w:adjustRightInd w:val="0"/>
              <w:spacing w:after="0" w:line="240" w:lineRule="auto"/>
              <w:ind w:left="284"/>
              <w:textAlignment w:val="baseline"/>
              <w:rPr>
                <w:lang w:eastAsia="zh-CN"/>
              </w:rPr>
            </w:pPr>
          </w:p>
        </w:tc>
      </w:tr>
    </w:tbl>
    <w:p w14:paraId="312C2EE7" w14:textId="77777777" w:rsidR="00FF1F07" w:rsidRPr="00FF1F07" w:rsidRDefault="00285269" w:rsidP="00FF1F07">
      <w:r>
        <w:t>In this paper, we briefly discuss the high accuracy agenda items.</w:t>
      </w:r>
    </w:p>
    <w:p w14:paraId="07102226" w14:textId="77777777" w:rsidR="00477768" w:rsidRPr="00CE0424" w:rsidRDefault="00477768" w:rsidP="00CE0424">
      <w:pPr>
        <w:pStyle w:val="BodyText"/>
      </w:pPr>
    </w:p>
    <w:p w14:paraId="10FAB132" w14:textId="621251C4" w:rsidR="004000E8" w:rsidRDefault="00230D18" w:rsidP="00CE0424">
      <w:pPr>
        <w:pStyle w:val="Heading1"/>
      </w:pPr>
      <w:bookmarkStart w:id="2" w:name="_Ref178064866"/>
      <w:r>
        <w:lastRenderedPageBreak/>
        <w:t>2</w:t>
      </w:r>
      <w:r>
        <w:tab/>
      </w:r>
      <w:r w:rsidR="004000E8" w:rsidRPr="00CE0424">
        <w:t>Discussion</w:t>
      </w:r>
      <w:bookmarkEnd w:id="2"/>
    </w:p>
    <w:p w14:paraId="49B51AD4" w14:textId="77777777" w:rsidR="00247ABE" w:rsidRPr="00362B02" w:rsidRDefault="00247ABE" w:rsidP="003823DA">
      <w:pPr>
        <w:rPr>
          <w:lang w:val="en-US"/>
        </w:rPr>
      </w:pPr>
    </w:p>
    <w:p w14:paraId="06D7057B" w14:textId="658AE067" w:rsidR="00B53889" w:rsidRDefault="00230D18" w:rsidP="00F63950">
      <w:pPr>
        <w:pStyle w:val="Heading2"/>
      </w:pPr>
      <w:r>
        <w:t>2.1</w:t>
      </w:r>
      <w:r>
        <w:tab/>
      </w:r>
      <w:r w:rsidR="00B53889">
        <w:t xml:space="preserve">Multipath assisted positioning and virtual transmitters </w:t>
      </w:r>
    </w:p>
    <w:p w14:paraId="4BF21E42" w14:textId="44C3B8EF" w:rsidR="00B53889" w:rsidRDefault="00B53889" w:rsidP="00B53889">
      <w:r>
        <w:t xml:space="preserve">Over the last ten years, the benefits of very good timing estimation resolution and the implied fine separation of multiple received paths are well documented and </w:t>
      </w:r>
      <w:proofErr w:type="spellStart"/>
      <w:r>
        <w:t>analyzed</w:t>
      </w:r>
      <w:proofErr w:type="spellEnd"/>
      <w:r>
        <w:t xml:space="preserve">. Some early references include [2,3], and the topic is well researched since then. </w:t>
      </w:r>
      <w:r w:rsidR="001863AD">
        <w:t xml:space="preserve">Identified multiple paths can be associated to virtual transmitters and thereby create additional equations that improves the geometry to the positioning problem and moreover the positioning accuracy.  </w:t>
      </w:r>
      <w:r>
        <w:t xml:space="preserve">The benefits of multipath timing reporting was also discussed in </w:t>
      </w:r>
      <w:proofErr w:type="spellStart"/>
      <w:r>
        <w:t>Rel</w:t>
      </w:r>
      <w:proofErr w:type="spellEnd"/>
      <w:r>
        <w:t xml:space="preserve"> 14 for LTE, where reporting of additional paths was introduced as a mean to significantly increase the probability to include the </w:t>
      </w:r>
      <w:proofErr w:type="spellStart"/>
      <w:r>
        <w:t>LoS</w:t>
      </w:r>
      <w:proofErr w:type="spellEnd"/>
      <w:r>
        <w:t xml:space="preserve"> path among the reported paths and thereby much improve the positioning accuracy and reliability.</w:t>
      </w:r>
    </w:p>
    <w:p w14:paraId="6F65AA93" w14:textId="3C5A0001" w:rsidR="001863AD" w:rsidRDefault="00B53889" w:rsidP="00B53889">
      <w:r>
        <w:t xml:space="preserve">Timing reporting associated to additional paths was also addressed in </w:t>
      </w:r>
      <w:proofErr w:type="spellStart"/>
      <w:r>
        <w:t>Rel</w:t>
      </w:r>
      <w:proofErr w:type="spellEnd"/>
      <w:r>
        <w:t xml:space="preserve"> 16 for NR, but the limit of up to two additional paths were adopted from LTE. However, with the up to 400 MHz DL-PRS bandwidth in NR compared to the up to 20 MHz PRS bandwidth</w:t>
      </w:r>
      <w:r w:rsidR="001863AD">
        <w:t xml:space="preserve">, the timing estimation resolution and multiple path separation of NR is clearly significantly better than for LTE. In dispersive environments such as in industrial </w:t>
      </w:r>
      <w:proofErr w:type="spellStart"/>
      <w:r w:rsidR="001863AD">
        <w:t>IoI</w:t>
      </w:r>
      <w:proofErr w:type="spellEnd"/>
      <w:r w:rsidR="001863AD">
        <w:t xml:space="preserve"> </w:t>
      </w:r>
      <w:proofErr w:type="spellStart"/>
      <w:r w:rsidR="001863AD">
        <w:t>scenatios</w:t>
      </w:r>
      <w:proofErr w:type="spellEnd"/>
      <w:r w:rsidR="001863AD">
        <w:t xml:space="preserve">, the number of relevant received paths from a transmitter can be quite large due to the number of reflectors in the environment. </w:t>
      </w:r>
    </w:p>
    <w:p w14:paraId="0657DE59" w14:textId="656B4CEA" w:rsidR="001863AD" w:rsidRPr="001863AD" w:rsidRDefault="001863AD" w:rsidP="001863AD">
      <w:pPr>
        <w:pStyle w:val="Observation"/>
        <w:numPr>
          <w:ilvl w:val="0"/>
          <w:numId w:val="30"/>
        </w:numPr>
        <w:overflowPunct/>
        <w:autoSpaceDE/>
        <w:autoSpaceDN/>
        <w:adjustRightInd/>
        <w:spacing w:line="259" w:lineRule="auto"/>
        <w:ind w:left="1701" w:hanging="1701"/>
        <w:textAlignment w:val="auto"/>
        <w:rPr>
          <w:lang w:val="en-US"/>
        </w:rPr>
      </w:pPr>
      <w:bookmarkStart w:id="3" w:name="_Toc71528410"/>
      <w:r>
        <w:t>The downlink timing estimation and multiple path separation capabilities of NR devices are significantly better than of LTE devices due to the wider positioning reference signal bandwidths.</w:t>
      </w:r>
      <w:bookmarkEnd w:id="3"/>
    </w:p>
    <w:p w14:paraId="7F3FF890" w14:textId="77777777" w:rsidR="001863AD" w:rsidRPr="001863AD" w:rsidRDefault="001863AD" w:rsidP="001863AD">
      <w:pPr>
        <w:pStyle w:val="Observation"/>
        <w:numPr>
          <w:ilvl w:val="0"/>
          <w:numId w:val="30"/>
        </w:numPr>
        <w:overflowPunct/>
        <w:autoSpaceDE/>
        <w:autoSpaceDN/>
        <w:adjustRightInd/>
        <w:spacing w:line="259" w:lineRule="auto"/>
        <w:ind w:left="1701" w:hanging="1701"/>
        <w:textAlignment w:val="auto"/>
        <w:rPr>
          <w:lang w:val="en-US"/>
        </w:rPr>
      </w:pPr>
      <w:bookmarkStart w:id="4" w:name="_Toc71528411"/>
      <w:r>
        <w:rPr>
          <w:lang w:eastAsia="x-none"/>
        </w:rPr>
        <w:t>The number of relevant received paths in a dispersive environment such as in an industrial IoT scenario can be considerable.</w:t>
      </w:r>
      <w:bookmarkEnd w:id="4"/>
    </w:p>
    <w:p w14:paraId="7EE9B9DC" w14:textId="514BAB1B" w:rsidR="001863AD" w:rsidRDefault="001863AD" w:rsidP="001863AD">
      <w:r>
        <w:t>Therefore, it is highly relevant to increase the number of additional paths an NR device can report beyond the current two, and also determine if the path representation shall be enriched.</w:t>
      </w:r>
    </w:p>
    <w:p w14:paraId="2498019A" w14:textId="6B4CDB77" w:rsidR="00B53889" w:rsidRDefault="00286EFC" w:rsidP="00B53889">
      <w:pPr>
        <w:pStyle w:val="Proposal"/>
        <w:numPr>
          <w:ilvl w:val="0"/>
          <w:numId w:val="29"/>
        </w:numPr>
        <w:tabs>
          <w:tab w:val="clear" w:pos="1304"/>
        </w:tabs>
        <w:overflowPunct/>
        <w:autoSpaceDE/>
        <w:autoSpaceDN/>
        <w:adjustRightInd/>
        <w:spacing w:line="259" w:lineRule="auto"/>
        <w:ind w:left="1701" w:hanging="1701"/>
        <w:textAlignment w:val="auto"/>
        <w:rPr>
          <w:lang w:val="en-US"/>
        </w:rPr>
      </w:pPr>
      <w:bookmarkStart w:id="5" w:name="_Toc71528417"/>
      <w:r>
        <w:t>RAN2 shall ask RAN1 to confirm a suitable number of additional paths to be included with timing-based reports in consideration of the wide positioning reference signal bandwidth of NR.</w:t>
      </w:r>
      <w:bookmarkEnd w:id="5"/>
      <w:r>
        <w:rPr>
          <w:lang w:val="en-US"/>
        </w:rPr>
        <w:t xml:space="preserve"> </w:t>
      </w:r>
    </w:p>
    <w:p w14:paraId="0486FF4F" w14:textId="17FDE5E4" w:rsidR="00286EFC" w:rsidRDefault="00286EFC" w:rsidP="00286EFC">
      <w:pPr>
        <w:rPr>
          <w:lang w:val="en-US"/>
        </w:rPr>
      </w:pPr>
      <w:r>
        <w:t xml:space="preserve">As part of improving the accuracy of angle-based methods; RAN1 is currently discussing that the reporting of additional paths needs to be improved. </w:t>
      </w:r>
      <w:r w:rsidRPr="00286EFC">
        <w:rPr>
          <w:lang w:val="en-US"/>
        </w:rPr>
        <w:t xml:space="preserve">Information of the DL AOD for other paths than the first path can also improve positioning accuracy. </w:t>
      </w:r>
      <w:r>
        <w:rPr>
          <w:lang w:val="en-US"/>
        </w:rPr>
        <w:t>DL-AoD is based on DL-PRS RSRP associated to multiple DL-PRS resources. In order to extend DL-AoD to additional paths, there is a need to include also the DL-PRS path RSRP in the additional paths.</w:t>
      </w:r>
    </w:p>
    <w:p w14:paraId="18C98B45" w14:textId="541A009C" w:rsidR="00286EFC" w:rsidRPr="001863AD" w:rsidRDefault="00286EFC" w:rsidP="00286EFC">
      <w:pPr>
        <w:pStyle w:val="Observation"/>
        <w:numPr>
          <w:ilvl w:val="0"/>
          <w:numId w:val="30"/>
        </w:numPr>
        <w:overflowPunct/>
        <w:autoSpaceDE/>
        <w:autoSpaceDN/>
        <w:adjustRightInd/>
        <w:spacing w:line="259" w:lineRule="auto"/>
        <w:ind w:left="1701" w:hanging="1701"/>
        <w:textAlignment w:val="auto"/>
        <w:rPr>
          <w:lang w:val="en-US"/>
        </w:rPr>
      </w:pPr>
      <w:bookmarkStart w:id="6" w:name="_Toc71528412"/>
      <w:r>
        <w:rPr>
          <w:lang w:eastAsia="x-none"/>
        </w:rPr>
        <w:t xml:space="preserve">Angle-based downlink methods exploit DL-PRS RSRP in order to estimate DL-AoD. </w:t>
      </w:r>
      <w:r w:rsidR="007A5898">
        <w:rPr>
          <w:lang w:eastAsia="x-none"/>
        </w:rPr>
        <w:t>For additional path DL-AoD estimation, the DL-PRS RSRP per additional path is also needed.</w:t>
      </w:r>
      <w:bookmarkEnd w:id="6"/>
      <w:r w:rsidR="007A5898">
        <w:rPr>
          <w:lang w:eastAsia="x-none"/>
        </w:rPr>
        <w:t xml:space="preserve">   </w:t>
      </w:r>
    </w:p>
    <w:p w14:paraId="06F09E27" w14:textId="77777777" w:rsidR="00286EFC" w:rsidRDefault="00286EFC" w:rsidP="00286EFC">
      <w:r>
        <w:t>Therefore, it is highly relevant to increase the number of additional paths an NR device can report beyond the current two, and also determine if the path representation shall be enriched.</w:t>
      </w:r>
    </w:p>
    <w:p w14:paraId="7E8C61F5" w14:textId="62E9F32A" w:rsidR="00286EFC" w:rsidRPr="007A5898" w:rsidRDefault="00286EFC" w:rsidP="00286EFC">
      <w:pPr>
        <w:pStyle w:val="Proposal"/>
        <w:numPr>
          <w:ilvl w:val="0"/>
          <w:numId w:val="29"/>
        </w:numPr>
        <w:tabs>
          <w:tab w:val="clear" w:pos="1304"/>
        </w:tabs>
        <w:overflowPunct/>
        <w:autoSpaceDE/>
        <w:autoSpaceDN/>
        <w:adjustRightInd/>
        <w:spacing w:line="259" w:lineRule="auto"/>
        <w:ind w:left="1701" w:hanging="1701"/>
        <w:textAlignment w:val="auto"/>
        <w:rPr>
          <w:lang w:val="en-US"/>
        </w:rPr>
      </w:pPr>
      <w:bookmarkStart w:id="7" w:name="_Toc71528418"/>
      <w:r>
        <w:t>RAN2 shall ask RAN1 to confirm a suitable number of additional paths to be included with timing-based reports in consideration of the wide positioning reference signal bandwidth of NR</w:t>
      </w:r>
      <w:r w:rsidR="007A5898">
        <w:t>, and conclude on enriched information per path to allow also DL-AoD per additional path.</w:t>
      </w:r>
      <w:bookmarkEnd w:id="7"/>
      <w:r>
        <w:rPr>
          <w:lang w:val="en-US"/>
        </w:rPr>
        <w:t xml:space="preserve"> </w:t>
      </w:r>
    </w:p>
    <w:p w14:paraId="7C6C9723" w14:textId="6FE16EE2" w:rsidR="00F63950" w:rsidRDefault="00B53889" w:rsidP="00F63950">
      <w:pPr>
        <w:pStyle w:val="Heading2"/>
      </w:pPr>
      <w:r>
        <w:t>2.2</w:t>
      </w:r>
      <w:r>
        <w:tab/>
      </w:r>
      <w:r w:rsidR="00285269">
        <w:t xml:space="preserve">Rx Tx </w:t>
      </w:r>
      <w:r w:rsidR="00500DC0">
        <w:t xml:space="preserve">Timing </w:t>
      </w:r>
      <w:r w:rsidR="00285269">
        <w:t>Error Mitigation</w:t>
      </w:r>
    </w:p>
    <w:p w14:paraId="3B2E56BB" w14:textId="5EA3DB60" w:rsidR="00500DC0" w:rsidRDefault="00500DC0" w:rsidP="007D4AA0">
      <w:r>
        <w:t xml:space="preserve">In </w:t>
      </w:r>
      <w:proofErr w:type="spellStart"/>
      <w:r>
        <w:t>Rel</w:t>
      </w:r>
      <w:proofErr w:type="spellEnd"/>
      <w:r>
        <w:t xml:space="preserve"> 16 NR positioning, the aspects of UEs estimating DL-PRS reference signal received power using an RX beamformer were addressed and an RX beam index is provided to indicate if DL-PRS RSRPs of the same resource set are provided based on the same RX beam former or different.  An NR UE may be configured with multiple antenna panels, especially at higher frequency bands, and the RX and/or TX timings associated to these antenna panels may be different in the UE. RAN1 has generalized these timing differences to timing error groups (TEG), where measurements associated to the same TEG </w:t>
      </w:r>
      <w:r w:rsidR="00247ABE">
        <w:t xml:space="preserve">are </w:t>
      </w:r>
      <w:r>
        <w:t>subject to the same timing.</w:t>
      </w:r>
    </w:p>
    <w:p w14:paraId="4F23CBF0" w14:textId="68048CF4" w:rsidR="00247ABE" w:rsidRDefault="00247ABE" w:rsidP="007D4AA0">
      <w:r>
        <w:lastRenderedPageBreak/>
        <w:t>One possibility is that the UE is aware of the TEG timing differences, and the UE can signal the TEG timing differences to LMF. However, if the UE is aware of the timing differences between two TEGs, then it is better to compensate for the</w:t>
      </w:r>
      <w:r w:rsidR="00895AAC">
        <w:t xml:space="preserve"> </w:t>
      </w:r>
      <w:r>
        <w:t>timing difference and combine t</w:t>
      </w:r>
      <w:r w:rsidR="00895AAC">
        <w:t>he two TEGs into the same TEG. Possibly, the association of measurements to TEGs could therefore be dynamic.</w:t>
      </w:r>
      <w:r>
        <w:t xml:space="preserve"> </w:t>
      </w:r>
    </w:p>
    <w:p w14:paraId="11A05CF6" w14:textId="2F4463B7" w:rsidR="00895AAC" w:rsidRPr="00895AAC" w:rsidRDefault="00895AAC" w:rsidP="007D4AA0">
      <w:pPr>
        <w:pStyle w:val="Proposal"/>
        <w:numPr>
          <w:ilvl w:val="0"/>
          <w:numId w:val="29"/>
        </w:numPr>
        <w:tabs>
          <w:tab w:val="clear" w:pos="1304"/>
        </w:tabs>
        <w:overflowPunct/>
        <w:autoSpaceDE/>
        <w:autoSpaceDN/>
        <w:adjustRightInd/>
        <w:spacing w:line="259" w:lineRule="auto"/>
        <w:ind w:left="1701" w:hanging="1701"/>
        <w:textAlignment w:val="auto"/>
        <w:rPr>
          <w:lang w:val="en-US"/>
        </w:rPr>
      </w:pPr>
      <w:bookmarkStart w:id="8" w:name="_Toc71528419"/>
      <w:r w:rsidRPr="00895AAC">
        <w:rPr>
          <w:lang w:val="en-US"/>
        </w:rPr>
        <w:t xml:space="preserve">Timing errors per RX/TX TEG </w:t>
      </w:r>
      <w:r>
        <w:rPr>
          <w:lang w:val="en-US"/>
        </w:rPr>
        <w:t xml:space="preserve">nor timing error differences between Rx/TX TEGs </w:t>
      </w:r>
      <w:r w:rsidRPr="00895AAC">
        <w:rPr>
          <w:lang w:val="en-US"/>
        </w:rPr>
        <w:t xml:space="preserve">should not be </w:t>
      </w:r>
      <w:proofErr w:type="spellStart"/>
      <w:r w:rsidRPr="00895AAC">
        <w:rPr>
          <w:lang w:val="en-US"/>
        </w:rPr>
        <w:t>signalled</w:t>
      </w:r>
      <w:proofErr w:type="spellEnd"/>
      <w:r w:rsidRPr="00895AAC">
        <w:rPr>
          <w:lang w:val="en-US"/>
        </w:rPr>
        <w:t xml:space="preserve"> by the UE to the LMF, nor from the LMF to the UE.</w:t>
      </w:r>
      <w:bookmarkEnd w:id="8"/>
    </w:p>
    <w:p w14:paraId="0E7E4E7F" w14:textId="2C744A25" w:rsidR="00500DC0" w:rsidRDefault="00500DC0" w:rsidP="007D4AA0">
      <w:r>
        <w:t xml:space="preserve">These timing errors </w:t>
      </w:r>
      <w:r w:rsidR="00247ABE">
        <w:t>implies different aspects for DL-TDOA, UL-TDOA and Multi-RTT positioning respectively</w:t>
      </w:r>
    </w:p>
    <w:p w14:paraId="1BC6C069" w14:textId="3502F144" w:rsidR="00247ABE" w:rsidRDefault="00247ABE" w:rsidP="00247ABE">
      <w:pPr>
        <w:pStyle w:val="Heading2"/>
      </w:pPr>
      <w:r>
        <w:t>2.2.1</w:t>
      </w:r>
      <w:r>
        <w:tab/>
      </w:r>
      <w:r>
        <w:tab/>
        <w:t>DL-TDOA aspects</w:t>
      </w:r>
    </w:p>
    <w:p w14:paraId="76DCB0D0" w14:textId="5B51D3D8" w:rsidR="00247ABE" w:rsidRDefault="00247ABE" w:rsidP="007D4AA0">
      <w:r>
        <w:t xml:space="preserve">For DL-TDOA, the critical part is the RSTD </w:t>
      </w:r>
      <w:r w:rsidR="00895AAC">
        <w:t xml:space="preserve">measurements, where the RSTD could be between a </w:t>
      </w:r>
      <w:bookmarkStart w:id="9" w:name="_Hlk71520676"/>
      <w:r w:rsidR="00895AAC">
        <w:t xml:space="preserve">TRP/DL-PRS resource </w:t>
      </w:r>
      <w:bookmarkEnd w:id="9"/>
      <w:r w:rsidR="00895AAC">
        <w:t xml:space="preserve">and a reference TRP/DL-PRS resource that belongs to different RX TEGs. </w:t>
      </w:r>
    </w:p>
    <w:p w14:paraId="15D62F9F" w14:textId="7FD11160" w:rsidR="00895AAC" w:rsidRDefault="00895AAC" w:rsidP="00895AAC">
      <w:pPr>
        <w:pStyle w:val="Observation"/>
        <w:numPr>
          <w:ilvl w:val="0"/>
          <w:numId w:val="30"/>
        </w:numPr>
        <w:overflowPunct/>
        <w:autoSpaceDE/>
        <w:autoSpaceDN/>
        <w:adjustRightInd/>
        <w:spacing w:line="259" w:lineRule="auto"/>
        <w:ind w:left="1701" w:hanging="1701"/>
        <w:textAlignment w:val="auto"/>
        <w:rPr>
          <w:lang w:val="en-US"/>
        </w:rPr>
      </w:pPr>
      <w:bookmarkStart w:id="10" w:name="_Toc71528413"/>
      <w:r>
        <w:rPr>
          <w:lang w:val="en-US" w:eastAsia="x-none"/>
        </w:rPr>
        <w:t xml:space="preserve">RSTD measurements could be formed by a </w:t>
      </w:r>
      <w:r w:rsidRPr="00895AAC">
        <w:rPr>
          <w:lang w:val="en-US" w:eastAsia="x-none"/>
        </w:rPr>
        <w:t>TRP/DL-PRS resource</w:t>
      </w:r>
      <w:r>
        <w:rPr>
          <w:lang w:val="en-US" w:eastAsia="x-none"/>
        </w:rPr>
        <w:t xml:space="preserve"> timing measurement and a reference </w:t>
      </w:r>
      <w:r w:rsidRPr="00895AAC">
        <w:rPr>
          <w:lang w:val="en-US" w:eastAsia="x-none"/>
        </w:rPr>
        <w:t>TRP/DL-PRS resource</w:t>
      </w:r>
      <w:r>
        <w:rPr>
          <w:lang w:val="en-US" w:eastAsia="x-none"/>
        </w:rPr>
        <w:t xml:space="preserve"> timing measurement that are associated to different RX TEGs</w:t>
      </w:r>
      <w:r w:rsidRPr="00895AAC">
        <w:rPr>
          <w:lang w:val="en-US" w:eastAsia="x-none"/>
        </w:rPr>
        <w:t>.</w:t>
      </w:r>
      <w:bookmarkEnd w:id="10"/>
    </w:p>
    <w:p w14:paraId="12949015" w14:textId="30C3EFDF" w:rsidR="00895AAC" w:rsidRPr="00895AAC" w:rsidRDefault="00895AAC" w:rsidP="00895AAC">
      <w:pPr>
        <w:rPr>
          <w:lang w:val="en-US"/>
        </w:rPr>
      </w:pPr>
      <w:r>
        <w:rPr>
          <w:lang w:val="en-US"/>
        </w:rPr>
        <w:t>LMF can</w:t>
      </w:r>
      <w:r w:rsidR="00E423B8">
        <w:rPr>
          <w:lang w:val="en-US"/>
        </w:rPr>
        <w:t>, if made aware by the UE,</w:t>
      </w:r>
      <w:r>
        <w:rPr>
          <w:lang w:val="en-US"/>
        </w:rPr>
        <w:t xml:space="preserve"> model </w:t>
      </w:r>
      <w:r w:rsidR="00E423B8">
        <w:rPr>
          <w:lang w:val="en-US"/>
        </w:rPr>
        <w:t>such</w:t>
      </w:r>
      <w:r>
        <w:rPr>
          <w:lang w:val="en-US"/>
        </w:rPr>
        <w:t xml:space="preserve"> TEG timing error</w:t>
      </w:r>
      <w:r w:rsidR="00E423B8">
        <w:rPr>
          <w:lang w:val="en-US"/>
        </w:rPr>
        <w:t>s</w:t>
      </w:r>
      <w:r>
        <w:rPr>
          <w:lang w:val="en-US"/>
        </w:rPr>
        <w:t xml:space="preserve"> as part of the positioning algorithm to ensure that TEG timing errors are considered properly.</w:t>
      </w:r>
      <w:r w:rsidR="00E423B8">
        <w:rPr>
          <w:lang w:val="en-US"/>
        </w:rPr>
        <w:t xml:space="preserve"> Therefore, it is important that the UE indicates RX TEG per reported TRP/DL-PRS resource. </w:t>
      </w:r>
    </w:p>
    <w:p w14:paraId="54EDADCB" w14:textId="7DB76568" w:rsidR="00895AAC" w:rsidRPr="00895AAC" w:rsidRDefault="00E423B8" w:rsidP="00895AAC">
      <w:pPr>
        <w:pStyle w:val="Proposal"/>
        <w:numPr>
          <w:ilvl w:val="0"/>
          <w:numId w:val="29"/>
        </w:numPr>
        <w:tabs>
          <w:tab w:val="clear" w:pos="1304"/>
        </w:tabs>
        <w:overflowPunct/>
        <w:autoSpaceDE/>
        <w:autoSpaceDN/>
        <w:adjustRightInd/>
        <w:spacing w:line="259" w:lineRule="auto"/>
        <w:ind w:left="1701" w:hanging="1701"/>
        <w:textAlignment w:val="auto"/>
        <w:rPr>
          <w:lang w:val="en-US"/>
        </w:rPr>
      </w:pPr>
      <w:bookmarkStart w:id="11" w:name="_Toc71528420"/>
      <w:r>
        <w:rPr>
          <w:lang w:val="en-US"/>
        </w:rPr>
        <w:t>The UE shall report the RX TEG per TRP/DL_PRS resource and reference TRP/DL-PRS resource in case downlink timing measurements are subject to different RX TEGs</w:t>
      </w:r>
      <w:bookmarkEnd w:id="11"/>
      <w:r>
        <w:rPr>
          <w:lang w:val="en-US"/>
        </w:rPr>
        <w:t xml:space="preserve"> </w:t>
      </w:r>
    </w:p>
    <w:p w14:paraId="39089721" w14:textId="1F35D554" w:rsidR="00E423B8" w:rsidRDefault="00E423B8" w:rsidP="00E423B8">
      <w:pPr>
        <w:pStyle w:val="Heading2"/>
      </w:pPr>
      <w:r>
        <w:t>2.2.</w:t>
      </w:r>
      <w:r w:rsidR="0002382D">
        <w:t>2</w:t>
      </w:r>
      <w:r>
        <w:tab/>
      </w:r>
      <w:r>
        <w:tab/>
        <w:t>UL-TDOA aspects</w:t>
      </w:r>
    </w:p>
    <w:p w14:paraId="199A95D2" w14:textId="336CFFAD" w:rsidR="00E423B8" w:rsidRDefault="00E423B8" w:rsidP="00E423B8">
      <w:r>
        <w:t xml:space="preserve">For UL-TDOA, the critical part is the UL-SRS transmissions and whether two different UL-SRSs are associated to the same or different TX TEGs. Two different UL-SRSs can be transmitted with different timings, which means that this timing difference adds a term to the measurement error when forming an UL-TDOA measurement equation in LMF. </w:t>
      </w:r>
    </w:p>
    <w:p w14:paraId="5A72620B" w14:textId="3B24AC29" w:rsidR="00E423B8" w:rsidRDefault="0002382D" w:rsidP="00E423B8">
      <w:pPr>
        <w:pStyle w:val="Observation"/>
        <w:numPr>
          <w:ilvl w:val="0"/>
          <w:numId w:val="30"/>
        </w:numPr>
        <w:overflowPunct/>
        <w:autoSpaceDE/>
        <w:autoSpaceDN/>
        <w:adjustRightInd/>
        <w:spacing w:line="259" w:lineRule="auto"/>
        <w:ind w:left="1701" w:hanging="1701"/>
        <w:textAlignment w:val="auto"/>
        <w:rPr>
          <w:lang w:val="en-US"/>
        </w:rPr>
      </w:pPr>
      <w:bookmarkStart w:id="12" w:name="_Toc71528414"/>
      <w:r>
        <w:rPr>
          <w:lang w:val="en-US" w:eastAsia="x-none"/>
        </w:rPr>
        <w:t xml:space="preserve">Two </w:t>
      </w:r>
      <w:r w:rsidR="00E423B8">
        <w:rPr>
          <w:lang w:val="en-US" w:eastAsia="x-none"/>
        </w:rPr>
        <w:t>UL-SRS</w:t>
      </w:r>
      <w:r>
        <w:rPr>
          <w:lang w:val="en-US" w:eastAsia="x-none"/>
        </w:rPr>
        <w:t>s could be transmitted associated to two different TX TEGs</w:t>
      </w:r>
      <w:r w:rsidR="00E423B8" w:rsidRPr="00895AAC">
        <w:rPr>
          <w:lang w:val="en-US" w:eastAsia="x-none"/>
        </w:rPr>
        <w:t>.</w:t>
      </w:r>
      <w:bookmarkEnd w:id="12"/>
    </w:p>
    <w:p w14:paraId="1351AE77" w14:textId="77777777" w:rsidR="0002382D" w:rsidRDefault="0002382D" w:rsidP="00E423B8">
      <w:pPr>
        <w:rPr>
          <w:lang w:val="en-US"/>
        </w:rPr>
      </w:pPr>
      <w:r>
        <w:rPr>
          <w:lang w:val="en-US"/>
        </w:rPr>
        <w:t>The UL-SRS for positioning configuration in RRC can include a spatial relation to an SSB, a DL-PRS or another UL-SRS, and this information is used by the UE to determine UL-SRS transmission configuration including association to TX TEGs. It is therefore possible to confirm the TX TEG association by the UE to the gNB via RRC.</w:t>
      </w:r>
    </w:p>
    <w:p w14:paraId="4ADB56D6" w14:textId="20F252D8" w:rsidR="0002382D" w:rsidRDefault="0002382D" w:rsidP="0002382D">
      <w:pPr>
        <w:pStyle w:val="Observation"/>
        <w:numPr>
          <w:ilvl w:val="0"/>
          <w:numId w:val="30"/>
        </w:numPr>
        <w:overflowPunct/>
        <w:autoSpaceDE/>
        <w:autoSpaceDN/>
        <w:adjustRightInd/>
        <w:spacing w:line="259" w:lineRule="auto"/>
        <w:ind w:left="1701" w:hanging="1701"/>
        <w:textAlignment w:val="auto"/>
        <w:rPr>
          <w:lang w:val="en-US"/>
        </w:rPr>
      </w:pPr>
      <w:r>
        <w:rPr>
          <w:lang w:val="en-US"/>
        </w:rPr>
        <w:t xml:space="preserve"> </w:t>
      </w:r>
      <w:bookmarkStart w:id="13" w:name="_Toc71528415"/>
      <w:r>
        <w:rPr>
          <w:lang w:val="en-US" w:eastAsia="x-none"/>
        </w:rPr>
        <w:t>The UE can determine the UL-SRS TX TEG association based on the UL-SRS spatial relation of the UL-SRS RRC configuration</w:t>
      </w:r>
      <w:r w:rsidRPr="00895AAC">
        <w:rPr>
          <w:lang w:val="en-US" w:eastAsia="x-none"/>
        </w:rPr>
        <w:t>.</w:t>
      </w:r>
      <w:bookmarkEnd w:id="13"/>
    </w:p>
    <w:p w14:paraId="18EF16F4" w14:textId="2ED4A3F8" w:rsidR="0002382D" w:rsidRDefault="00E1734F" w:rsidP="00E423B8">
      <w:pPr>
        <w:rPr>
          <w:lang w:val="en-US"/>
        </w:rPr>
      </w:pPr>
      <w:r>
        <w:rPr>
          <w:lang w:val="en-US"/>
        </w:rPr>
        <w:t>Hence, the UE shall provide an indication about which TX TEG a configured UL-SRS belongs to.</w:t>
      </w:r>
    </w:p>
    <w:p w14:paraId="3DBF3388" w14:textId="5FCAFC05" w:rsidR="00E1734F" w:rsidRPr="00895AAC" w:rsidRDefault="00E1734F" w:rsidP="00E1734F">
      <w:pPr>
        <w:pStyle w:val="Proposal"/>
        <w:numPr>
          <w:ilvl w:val="0"/>
          <w:numId w:val="29"/>
        </w:numPr>
        <w:tabs>
          <w:tab w:val="clear" w:pos="1304"/>
        </w:tabs>
        <w:overflowPunct/>
        <w:autoSpaceDE/>
        <w:autoSpaceDN/>
        <w:adjustRightInd/>
        <w:spacing w:line="259" w:lineRule="auto"/>
        <w:ind w:left="1701" w:hanging="1701"/>
        <w:textAlignment w:val="auto"/>
        <w:rPr>
          <w:lang w:val="en-US"/>
        </w:rPr>
      </w:pPr>
      <w:bookmarkStart w:id="14" w:name="_Toc71528421"/>
      <w:r>
        <w:rPr>
          <w:lang w:val="en-US"/>
        </w:rPr>
        <w:t>The UE shall provide an indication about which TX TEG a configured UL-SRS belongs to.</w:t>
      </w:r>
      <w:bookmarkEnd w:id="14"/>
      <w:r>
        <w:rPr>
          <w:lang w:val="en-US"/>
        </w:rPr>
        <w:t xml:space="preserve"> </w:t>
      </w:r>
    </w:p>
    <w:p w14:paraId="53A10445" w14:textId="79B48598" w:rsidR="00286EFC" w:rsidRDefault="00286EFC" w:rsidP="00286EFC">
      <w:pPr>
        <w:pStyle w:val="Heading2"/>
      </w:pPr>
      <w:r>
        <w:t>2.2.3</w:t>
      </w:r>
      <w:r>
        <w:tab/>
      </w:r>
      <w:r>
        <w:tab/>
        <w:t>Multi-RTT aspects</w:t>
      </w:r>
    </w:p>
    <w:p w14:paraId="0999C2F0" w14:textId="7A2EF715" w:rsidR="007A5898" w:rsidRDefault="007A5898" w:rsidP="00286EFC">
      <w:r>
        <w:t xml:space="preserve">Multi-RTT is based on a combination of UL and DL measurements, which means that the UE shall indicate both the RX TEG and TX TEG per UE </w:t>
      </w:r>
      <w:proofErr w:type="spellStart"/>
      <w:r>
        <w:t>RxTx</w:t>
      </w:r>
      <w:proofErr w:type="spellEnd"/>
      <w:r>
        <w:t xml:space="preserve"> time difference measurement. </w:t>
      </w:r>
    </w:p>
    <w:p w14:paraId="6D189C0A" w14:textId="49DF528B" w:rsidR="00286EFC" w:rsidRDefault="007A5898" w:rsidP="00286EFC">
      <w:pPr>
        <w:pStyle w:val="Observation"/>
        <w:numPr>
          <w:ilvl w:val="0"/>
          <w:numId w:val="30"/>
        </w:numPr>
        <w:overflowPunct/>
        <w:autoSpaceDE/>
        <w:autoSpaceDN/>
        <w:adjustRightInd/>
        <w:spacing w:line="259" w:lineRule="auto"/>
        <w:ind w:left="1701" w:hanging="1701"/>
        <w:textAlignment w:val="auto"/>
        <w:rPr>
          <w:lang w:val="en-US"/>
        </w:rPr>
      </w:pPr>
      <w:bookmarkStart w:id="15" w:name="_Toc71528416"/>
      <w:r>
        <w:rPr>
          <w:lang w:val="en-US" w:eastAsia="x-none"/>
        </w:rPr>
        <w:t xml:space="preserve">Both the RX and TX TEG is needed for each UE </w:t>
      </w:r>
      <w:proofErr w:type="spellStart"/>
      <w:r>
        <w:rPr>
          <w:lang w:val="en-US" w:eastAsia="x-none"/>
        </w:rPr>
        <w:t>RxTx</w:t>
      </w:r>
      <w:proofErr w:type="spellEnd"/>
      <w:r>
        <w:rPr>
          <w:lang w:val="en-US" w:eastAsia="x-none"/>
        </w:rPr>
        <w:t xml:space="preserve"> time difference measurement in order to properly assess the potential timing errors</w:t>
      </w:r>
      <w:r w:rsidR="00286EFC" w:rsidRPr="00895AAC">
        <w:rPr>
          <w:lang w:val="en-US" w:eastAsia="x-none"/>
        </w:rPr>
        <w:t>.</w:t>
      </w:r>
      <w:bookmarkEnd w:id="15"/>
    </w:p>
    <w:p w14:paraId="77FBF018" w14:textId="779FDEFB" w:rsidR="00286EFC" w:rsidRDefault="00286EFC" w:rsidP="00286EFC">
      <w:pPr>
        <w:rPr>
          <w:lang w:val="en-US"/>
        </w:rPr>
      </w:pPr>
      <w:r>
        <w:rPr>
          <w:lang w:val="en-US"/>
        </w:rPr>
        <w:t xml:space="preserve">Hence, the UE shall provide an indication about which </w:t>
      </w:r>
      <w:r w:rsidR="007A5898">
        <w:rPr>
          <w:lang w:val="en-US"/>
        </w:rPr>
        <w:t xml:space="preserve">RX TEG and </w:t>
      </w:r>
      <w:r>
        <w:rPr>
          <w:lang w:val="en-US"/>
        </w:rPr>
        <w:t xml:space="preserve">TX TEG </w:t>
      </w:r>
      <w:r w:rsidR="007A5898">
        <w:rPr>
          <w:lang w:val="en-US"/>
        </w:rPr>
        <w:t xml:space="preserve">a UE </w:t>
      </w:r>
      <w:proofErr w:type="spellStart"/>
      <w:r w:rsidR="007A5898">
        <w:rPr>
          <w:lang w:val="en-US"/>
        </w:rPr>
        <w:t>RxTx</w:t>
      </w:r>
      <w:proofErr w:type="spellEnd"/>
      <w:r w:rsidR="007A5898">
        <w:rPr>
          <w:lang w:val="en-US"/>
        </w:rPr>
        <w:t xml:space="preserve"> time difference measurement is associated to</w:t>
      </w:r>
      <w:r>
        <w:rPr>
          <w:lang w:val="en-US"/>
        </w:rPr>
        <w:t>.</w:t>
      </w:r>
    </w:p>
    <w:p w14:paraId="4B68EACD" w14:textId="6D50747F" w:rsidR="00865302" w:rsidRPr="007A5898" w:rsidRDefault="00286EFC" w:rsidP="007A5898">
      <w:pPr>
        <w:pStyle w:val="Proposal"/>
        <w:numPr>
          <w:ilvl w:val="0"/>
          <w:numId w:val="29"/>
        </w:numPr>
        <w:tabs>
          <w:tab w:val="clear" w:pos="1304"/>
        </w:tabs>
        <w:overflowPunct/>
        <w:autoSpaceDE/>
        <w:autoSpaceDN/>
        <w:adjustRightInd/>
        <w:spacing w:line="259" w:lineRule="auto"/>
        <w:ind w:left="1701" w:hanging="1701"/>
        <w:textAlignment w:val="auto"/>
        <w:rPr>
          <w:lang w:val="en-US"/>
        </w:rPr>
      </w:pPr>
      <w:bookmarkStart w:id="16" w:name="_Toc71528422"/>
      <w:r>
        <w:rPr>
          <w:lang w:val="en-US"/>
        </w:rPr>
        <w:t xml:space="preserve">The UE shall provide an indication about which </w:t>
      </w:r>
      <w:r w:rsidR="007A5898">
        <w:rPr>
          <w:lang w:val="en-US"/>
        </w:rPr>
        <w:t>R</w:t>
      </w:r>
      <w:r>
        <w:rPr>
          <w:lang w:val="en-US"/>
        </w:rPr>
        <w:t>X TEG</w:t>
      </w:r>
      <w:r w:rsidR="007A5898">
        <w:rPr>
          <w:lang w:val="en-US"/>
        </w:rPr>
        <w:t xml:space="preserve"> and TX TEG</w:t>
      </w:r>
      <w:r>
        <w:rPr>
          <w:lang w:val="en-US"/>
        </w:rPr>
        <w:t xml:space="preserve"> </w:t>
      </w:r>
      <w:r w:rsidR="007A5898">
        <w:rPr>
          <w:lang w:val="en-US"/>
        </w:rPr>
        <w:t xml:space="preserve">a UE </w:t>
      </w:r>
      <w:proofErr w:type="spellStart"/>
      <w:r w:rsidR="007A5898">
        <w:rPr>
          <w:lang w:val="en-US"/>
        </w:rPr>
        <w:t>RxTx</w:t>
      </w:r>
      <w:proofErr w:type="spellEnd"/>
      <w:r w:rsidR="007A5898">
        <w:rPr>
          <w:lang w:val="en-US"/>
        </w:rPr>
        <w:t xml:space="preserve"> time difference measurement is associated to</w:t>
      </w:r>
      <w:r>
        <w:rPr>
          <w:lang w:val="en-US"/>
        </w:rPr>
        <w:t>.</w:t>
      </w:r>
      <w:bookmarkEnd w:id="16"/>
      <w:r>
        <w:rPr>
          <w:lang w:val="en-US"/>
        </w:rPr>
        <w:t xml:space="preserve"> </w:t>
      </w:r>
    </w:p>
    <w:p w14:paraId="080A084C" w14:textId="77777777" w:rsidR="00C01F33" w:rsidRPr="00CE0424" w:rsidRDefault="00C01F33" w:rsidP="00CE0424">
      <w:pPr>
        <w:pStyle w:val="Heading1"/>
      </w:pPr>
      <w:r w:rsidRPr="00CE0424">
        <w:lastRenderedPageBreak/>
        <w:t>Conclusion</w:t>
      </w:r>
    </w:p>
    <w:p w14:paraId="03ED09E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A71AD01" w14:textId="77777777" w:rsidR="007A589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528410" w:history="1">
        <w:r w:rsidR="007A5898" w:rsidRPr="00FC46C7">
          <w:rPr>
            <w:rStyle w:val="Hyperlink"/>
            <w:noProof/>
            <w:lang w:val="en-US"/>
          </w:rPr>
          <w:t>Observation 1</w:t>
        </w:r>
        <w:r w:rsidR="007A5898">
          <w:rPr>
            <w:rFonts w:asciiTheme="minorHAnsi" w:eastAsiaTheme="minorEastAsia" w:hAnsiTheme="minorHAnsi" w:cstheme="minorBidi"/>
            <w:b w:val="0"/>
            <w:noProof/>
            <w:sz w:val="22"/>
            <w:szCs w:val="22"/>
            <w:lang w:val="sv-SE" w:eastAsia="sv-SE"/>
          </w:rPr>
          <w:tab/>
        </w:r>
        <w:r w:rsidR="007A5898" w:rsidRPr="00FC46C7">
          <w:rPr>
            <w:rStyle w:val="Hyperlink"/>
            <w:noProof/>
          </w:rPr>
          <w:t>The downlink timing estimation and multiple path separation capabilities of NR devices are significantly better than of LTE devices due to the wider positioning reference signal bandwidths.</w:t>
        </w:r>
      </w:hyperlink>
    </w:p>
    <w:p w14:paraId="4606BC6E" w14:textId="77777777" w:rsidR="007A5898" w:rsidRDefault="00C57B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28411" w:history="1">
        <w:r w:rsidR="007A5898" w:rsidRPr="00FC46C7">
          <w:rPr>
            <w:rStyle w:val="Hyperlink"/>
            <w:noProof/>
            <w:lang w:val="en-US"/>
          </w:rPr>
          <w:t>Observation 2</w:t>
        </w:r>
        <w:r w:rsidR="007A5898">
          <w:rPr>
            <w:rFonts w:asciiTheme="minorHAnsi" w:eastAsiaTheme="minorEastAsia" w:hAnsiTheme="minorHAnsi" w:cstheme="minorBidi"/>
            <w:b w:val="0"/>
            <w:noProof/>
            <w:sz w:val="22"/>
            <w:szCs w:val="22"/>
            <w:lang w:val="sv-SE" w:eastAsia="sv-SE"/>
          </w:rPr>
          <w:tab/>
        </w:r>
        <w:r w:rsidR="007A5898" w:rsidRPr="00FC46C7">
          <w:rPr>
            <w:rStyle w:val="Hyperlink"/>
            <w:noProof/>
            <w:lang w:eastAsia="x-none"/>
          </w:rPr>
          <w:t>The number of relevant received paths in a dispersive environment such as in an industrial IoT scenario can be considerable.</w:t>
        </w:r>
      </w:hyperlink>
    </w:p>
    <w:p w14:paraId="0B77A33A" w14:textId="77777777" w:rsidR="007A5898" w:rsidRDefault="00C57B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28412" w:history="1">
        <w:r w:rsidR="007A5898" w:rsidRPr="00FC46C7">
          <w:rPr>
            <w:rStyle w:val="Hyperlink"/>
            <w:noProof/>
            <w:lang w:val="en-US"/>
          </w:rPr>
          <w:t>Observation 3</w:t>
        </w:r>
        <w:r w:rsidR="007A5898">
          <w:rPr>
            <w:rFonts w:asciiTheme="minorHAnsi" w:eastAsiaTheme="minorEastAsia" w:hAnsiTheme="minorHAnsi" w:cstheme="minorBidi"/>
            <w:b w:val="0"/>
            <w:noProof/>
            <w:sz w:val="22"/>
            <w:szCs w:val="22"/>
            <w:lang w:val="sv-SE" w:eastAsia="sv-SE"/>
          </w:rPr>
          <w:tab/>
        </w:r>
        <w:r w:rsidR="007A5898" w:rsidRPr="00FC46C7">
          <w:rPr>
            <w:rStyle w:val="Hyperlink"/>
            <w:noProof/>
            <w:lang w:eastAsia="x-none"/>
          </w:rPr>
          <w:t>Angle-based downlink methods exploit DL-PRS RSRP in order to estimate DL-AoD. For additional path DL-AoD estimation, the DL-PRS RSRP per additional path is also needed.</w:t>
        </w:r>
      </w:hyperlink>
    </w:p>
    <w:p w14:paraId="07BDA4B1" w14:textId="77777777" w:rsidR="007A5898" w:rsidRDefault="00C57B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28413" w:history="1">
        <w:r w:rsidR="007A5898" w:rsidRPr="00FC46C7">
          <w:rPr>
            <w:rStyle w:val="Hyperlink"/>
            <w:noProof/>
            <w:lang w:val="en-US"/>
          </w:rPr>
          <w:t>Observation 4</w:t>
        </w:r>
        <w:r w:rsidR="007A5898">
          <w:rPr>
            <w:rFonts w:asciiTheme="minorHAnsi" w:eastAsiaTheme="minorEastAsia" w:hAnsiTheme="minorHAnsi" w:cstheme="minorBidi"/>
            <w:b w:val="0"/>
            <w:noProof/>
            <w:sz w:val="22"/>
            <w:szCs w:val="22"/>
            <w:lang w:val="sv-SE" w:eastAsia="sv-SE"/>
          </w:rPr>
          <w:tab/>
        </w:r>
        <w:r w:rsidR="007A5898" w:rsidRPr="00FC46C7">
          <w:rPr>
            <w:rStyle w:val="Hyperlink"/>
            <w:noProof/>
            <w:lang w:val="en-US" w:eastAsia="x-none"/>
          </w:rPr>
          <w:t>RSTD measurements could be formed by a TRP/DL-PRS resource timing measurement and a reference TRP/DL-PRS resource timing measurement that are associated to different RX TEGs.</w:t>
        </w:r>
      </w:hyperlink>
    </w:p>
    <w:p w14:paraId="1163CBC2" w14:textId="77777777" w:rsidR="007A5898" w:rsidRDefault="00C57B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28414" w:history="1">
        <w:r w:rsidR="007A5898" w:rsidRPr="00FC46C7">
          <w:rPr>
            <w:rStyle w:val="Hyperlink"/>
            <w:noProof/>
            <w:lang w:val="en-US"/>
          </w:rPr>
          <w:t>Observation 5</w:t>
        </w:r>
        <w:r w:rsidR="007A5898">
          <w:rPr>
            <w:rFonts w:asciiTheme="minorHAnsi" w:eastAsiaTheme="minorEastAsia" w:hAnsiTheme="minorHAnsi" w:cstheme="minorBidi"/>
            <w:b w:val="0"/>
            <w:noProof/>
            <w:sz w:val="22"/>
            <w:szCs w:val="22"/>
            <w:lang w:val="sv-SE" w:eastAsia="sv-SE"/>
          </w:rPr>
          <w:tab/>
        </w:r>
        <w:r w:rsidR="007A5898" w:rsidRPr="00FC46C7">
          <w:rPr>
            <w:rStyle w:val="Hyperlink"/>
            <w:noProof/>
            <w:lang w:val="en-US" w:eastAsia="x-none"/>
          </w:rPr>
          <w:t>Two UL-SRSs could be transmitted associated to two different TX TEGs.</w:t>
        </w:r>
      </w:hyperlink>
    </w:p>
    <w:p w14:paraId="3C8C8075" w14:textId="77777777" w:rsidR="007A5898" w:rsidRDefault="00C57B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28415" w:history="1">
        <w:r w:rsidR="007A5898" w:rsidRPr="00FC46C7">
          <w:rPr>
            <w:rStyle w:val="Hyperlink"/>
            <w:noProof/>
            <w:lang w:val="en-US"/>
          </w:rPr>
          <w:t>Observation 6</w:t>
        </w:r>
        <w:r w:rsidR="007A5898">
          <w:rPr>
            <w:rFonts w:asciiTheme="minorHAnsi" w:eastAsiaTheme="minorEastAsia" w:hAnsiTheme="minorHAnsi" w:cstheme="minorBidi"/>
            <w:b w:val="0"/>
            <w:noProof/>
            <w:sz w:val="22"/>
            <w:szCs w:val="22"/>
            <w:lang w:val="sv-SE" w:eastAsia="sv-SE"/>
          </w:rPr>
          <w:tab/>
        </w:r>
        <w:r w:rsidR="007A5898" w:rsidRPr="00FC46C7">
          <w:rPr>
            <w:rStyle w:val="Hyperlink"/>
            <w:noProof/>
            <w:lang w:val="en-US" w:eastAsia="x-none"/>
          </w:rPr>
          <w:t>The UE can determine the UL-SRS TX TEG association based on the UL-SRS spatial relation of the UL-SRS RRC configuration.</w:t>
        </w:r>
      </w:hyperlink>
    </w:p>
    <w:p w14:paraId="7528DE12" w14:textId="77777777" w:rsidR="007A5898" w:rsidRDefault="00C57B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28416" w:history="1">
        <w:r w:rsidR="007A5898" w:rsidRPr="00FC46C7">
          <w:rPr>
            <w:rStyle w:val="Hyperlink"/>
            <w:noProof/>
            <w:lang w:val="en-US"/>
          </w:rPr>
          <w:t>Observation 7</w:t>
        </w:r>
        <w:r w:rsidR="007A5898">
          <w:rPr>
            <w:rFonts w:asciiTheme="minorHAnsi" w:eastAsiaTheme="minorEastAsia" w:hAnsiTheme="minorHAnsi" w:cstheme="minorBidi"/>
            <w:b w:val="0"/>
            <w:noProof/>
            <w:sz w:val="22"/>
            <w:szCs w:val="22"/>
            <w:lang w:val="sv-SE" w:eastAsia="sv-SE"/>
          </w:rPr>
          <w:tab/>
        </w:r>
        <w:r w:rsidR="007A5898" w:rsidRPr="00FC46C7">
          <w:rPr>
            <w:rStyle w:val="Hyperlink"/>
            <w:noProof/>
            <w:lang w:val="en-US" w:eastAsia="x-none"/>
          </w:rPr>
          <w:t>Both the RX and TX TEG is needed for each UE RxTx time difference measurement in order to properly assess the potential timing errors.</w:t>
        </w:r>
      </w:hyperlink>
    </w:p>
    <w:p w14:paraId="3326843B" w14:textId="2003573B" w:rsidR="006E1C82" w:rsidRDefault="006F6582" w:rsidP="008E065E">
      <w:pPr>
        <w:pStyle w:val="BodyText"/>
        <w:rPr>
          <w:b/>
          <w:bCs/>
        </w:rPr>
      </w:pPr>
      <w:r>
        <w:rPr>
          <w:b/>
          <w:bCs/>
        </w:rPr>
        <w:fldChar w:fldCharType="end"/>
      </w:r>
    </w:p>
    <w:p w14:paraId="67AB8EC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F6766AD" w14:textId="77777777" w:rsidR="007A589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28417" w:history="1">
        <w:r w:rsidR="007A5898" w:rsidRPr="003C6EC4">
          <w:rPr>
            <w:rStyle w:val="Hyperlink"/>
            <w:noProof/>
            <w:lang w:val="en-US"/>
          </w:rPr>
          <w:t>Proposal 1</w:t>
        </w:r>
        <w:r w:rsidR="007A5898">
          <w:rPr>
            <w:rFonts w:asciiTheme="minorHAnsi" w:eastAsiaTheme="minorEastAsia" w:hAnsiTheme="minorHAnsi" w:cstheme="minorBidi"/>
            <w:b w:val="0"/>
            <w:noProof/>
            <w:sz w:val="22"/>
            <w:szCs w:val="22"/>
            <w:lang w:val="sv-SE" w:eastAsia="sv-SE"/>
          </w:rPr>
          <w:tab/>
        </w:r>
        <w:r w:rsidR="007A5898" w:rsidRPr="003C6EC4">
          <w:rPr>
            <w:rStyle w:val="Hyperlink"/>
            <w:noProof/>
          </w:rPr>
          <w:t>RAN2 shall ask RAN1 to confirm a suitable number of additional paths to be included with timing-based reports in consideration of the wide positioning reference signal bandwidth of NR.</w:t>
        </w:r>
      </w:hyperlink>
    </w:p>
    <w:p w14:paraId="1CDAD54A" w14:textId="77777777" w:rsidR="007A5898" w:rsidRDefault="00C57B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28418" w:history="1">
        <w:r w:rsidR="007A5898" w:rsidRPr="003C6EC4">
          <w:rPr>
            <w:rStyle w:val="Hyperlink"/>
            <w:noProof/>
            <w:lang w:val="en-US"/>
          </w:rPr>
          <w:t>Proposal 2</w:t>
        </w:r>
        <w:r w:rsidR="007A5898">
          <w:rPr>
            <w:rFonts w:asciiTheme="minorHAnsi" w:eastAsiaTheme="minorEastAsia" w:hAnsiTheme="minorHAnsi" w:cstheme="minorBidi"/>
            <w:b w:val="0"/>
            <w:noProof/>
            <w:sz w:val="22"/>
            <w:szCs w:val="22"/>
            <w:lang w:val="sv-SE" w:eastAsia="sv-SE"/>
          </w:rPr>
          <w:tab/>
        </w:r>
        <w:r w:rsidR="007A5898" w:rsidRPr="003C6EC4">
          <w:rPr>
            <w:rStyle w:val="Hyperlink"/>
            <w:noProof/>
          </w:rPr>
          <w:t>RAN2 shall ask RAN1 to confirm a suitable number of additional paths to be included with timing-based reports in consideration of the wide positioning reference signal bandwidth of NR, and conclude on enriched information per path to allow also DL-AoD per additional path.</w:t>
        </w:r>
      </w:hyperlink>
    </w:p>
    <w:p w14:paraId="12353494" w14:textId="77777777" w:rsidR="007A5898" w:rsidRDefault="00C57B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28419" w:history="1">
        <w:r w:rsidR="007A5898" w:rsidRPr="003C6EC4">
          <w:rPr>
            <w:rStyle w:val="Hyperlink"/>
            <w:noProof/>
            <w:lang w:val="en-US"/>
          </w:rPr>
          <w:t>Proposal 3</w:t>
        </w:r>
        <w:r w:rsidR="007A5898">
          <w:rPr>
            <w:rFonts w:asciiTheme="minorHAnsi" w:eastAsiaTheme="minorEastAsia" w:hAnsiTheme="minorHAnsi" w:cstheme="minorBidi"/>
            <w:b w:val="0"/>
            <w:noProof/>
            <w:sz w:val="22"/>
            <w:szCs w:val="22"/>
            <w:lang w:val="sv-SE" w:eastAsia="sv-SE"/>
          </w:rPr>
          <w:tab/>
        </w:r>
        <w:r w:rsidR="007A5898" w:rsidRPr="003C6EC4">
          <w:rPr>
            <w:rStyle w:val="Hyperlink"/>
            <w:noProof/>
            <w:lang w:val="en-US"/>
          </w:rPr>
          <w:t>Timing errors per RX/TX TEG nor timing error differences between Rx/TX TEGs should not be signalled by the UE to the LMF, nor from the LMF to the UE.</w:t>
        </w:r>
      </w:hyperlink>
    </w:p>
    <w:p w14:paraId="1E2ECA30" w14:textId="77777777" w:rsidR="007A5898" w:rsidRDefault="00C57B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28420" w:history="1">
        <w:r w:rsidR="007A5898" w:rsidRPr="003C6EC4">
          <w:rPr>
            <w:rStyle w:val="Hyperlink"/>
            <w:noProof/>
            <w:lang w:val="en-US"/>
          </w:rPr>
          <w:t>Proposal 4</w:t>
        </w:r>
        <w:r w:rsidR="007A5898">
          <w:rPr>
            <w:rFonts w:asciiTheme="minorHAnsi" w:eastAsiaTheme="minorEastAsia" w:hAnsiTheme="minorHAnsi" w:cstheme="minorBidi"/>
            <w:b w:val="0"/>
            <w:noProof/>
            <w:sz w:val="22"/>
            <w:szCs w:val="22"/>
            <w:lang w:val="sv-SE" w:eastAsia="sv-SE"/>
          </w:rPr>
          <w:tab/>
        </w:r>
        <w:r w:rsidR="007A5898" w:rsidRPr="003C6EC4">
          <w:rPr>
            <w:rStyle w:val="Hyperlink"/>
            <w:noProof/>
            <w:lang w:val="en-US"/>
          </w:rPr>
          <w:t>The UE shall report the RX TEG per TRP/DL_PRS resource and reference TRP/DL-PRS resource in case downlink timing measurements are subject to different RX TEGs</w:t>
        </w:r>
      </w:hyperlink>
    </w:p>
    <w:p w14:paraId="040F64AA" w14:textId="77777777" w:rsidR="007A5898" w:rsidRDefault="00C57B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28421" w:history="1">
        <w:r w:rsidR="007A5898" w:rsidRPr="003C6EC4">
          <w:rPr>
            <w:rStyle w:val="Hyperlink"/>
            <w:noProof/>
            <w:lang w:val="en-US"/>
          </w:rPr>
          <w:t>Proposal 5</w:t>
        </w:r>
        <w:r w:rsidR="007A5898">
          <w:rPr>
            <w:rFonts w:asciiTheme="minorHAnsi" w:eastAsiaTheme="minorEastAsia" w:hAnsiTheme="minorHAnsi" w:cstheme="minorBidi"/>
            <w:b w:val="0"/>
            <w:noProof/>
            <w:sz w:val="22"/>
            <w:szCs w:val="22"/>
            <w:lang w:val="sv-SE" w:eastAsia="sv-SE"/>
          </w:rPr>
          <w:tab/>
        </w:r>
        <w:r w:rsidR="007A5898" w:rsidRPr="003C6EC4">
          <w:rPr>
            <w:rStyle w:val="Hyperlink"/>
            <w:noProof/>
            <w:lang w:val="en-US"/>
          </w:rPr>
          <w:t>The UE shall provide an indication about which TX TEG a configured UL-SRS belongs to.</w:t>
        </w:r>
      </w:hyperlink>
    </w:p>
    <w:p w14:paraId="5D957D56" w14:textId="77777777" w:rsidR="007A5898" w:rsidRDefault="00C57B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28422" w:history="1">
        <w:r w:rsidR="007A5898" w:rsidRPr="003C6EC4">
          <w:rPr>
            <w:rStyle w:val="Hyperlink"/>
            <w:noProof/>
            <w:lang w:val="en-US"/>
          </w:rPr>
          <w:t>Proposal 6</w:t>
        </w:r>
        <w:r w:rsidR="007A5898">
          <w:rPr>
            <w:rFonts w:asciiTheme="minorHAnsi" w:eastAsiaTheme="minorEastAsia" w:hAnsiTheme="minorHAnsi" w:cstheme="minorBidi"/>
            <w:b w:val="0"/>
            <w:noProof/>
            <w:sz w:val="22"/>
            <w:szCs w:val="22"/>
            <w:lang w:val="sv-SE" w:eastAsia="sv-SE"/>
          </w:rPr>
          <w:tab/>
        </w:r>
        <w:r w:rsidR="007A5898" w:rsidRPr="003C6EC4">
          <w:rPr>
            <w:rStyle w:val="Hyperlink"/>
            <w:noProof/>
            <w:lang w:val="en-US"/>
          </w:rPr>
          <w:t>The UE shall provide an indication about which RX TEG and TX TEG a UE RxTx time difference measurement is associated to.</w:t>
        </w:r>
      </w:hyperlink>
    </w:p>
    <w:p w14:paraId="35A6B138" w14:textId="6216CEAB" w:rsidR="00C01F33" w:rsidRPr="007A5898" w:rsidRDefault="006E1C82" w:rsidP="007A5898">
      <w:pPr>
        <w:pStyle w:val="BodyText"/>
        <w:rPr>
          <w:b/>
          <w:bCs/>
        </w:rPr>
      </w:pPr>
      <w:r>
        <w:rPr>
          <w:b/>
          <w:bCs/>
          <w:lang w:val="en-US"/>
        </w:rPr>
        <w:fldChar w:fldCharType="end"/>
      </w:r>
      <w:r w:rsidRPr="00CE0424">
        <w:rPr>
          <w:b/>
          <w:bCs/>
        </w:rPr>
        <w:t xml:space="preserve"> </w:t>
      </w:r>
    </w:p>
    <w:p w14:paraId="56E97A19" w14:textId="77777777" w:rsidR="00F507D1" w:rsidRPr="00CE0424" w:rsidRDefault="00F507D1" w:rsidP="00CE0424">
      <w:pPr>
        <w:pStyle w:val="Heading1"/>
      </w:pPr>
      <w:bookmarkStart w:id="17" w:name="_In-sequence_SDU_delivery"/>
      <w:bookmarkEnd w:id="17"/>
      <w:r w:rsidRPr="00CE0424">
        <w:t>References</w:t>
      </w:r>
    </w:p>
    <w:p w14:paraId="49264114" w14:textId="39C58746" w:rsidR="00B85CA2" w:rsidRPr="00B53889" w:rsidRDefault="00B85CA2" w:rsidP="00B85CA2">
      <w:pPr>
        <w:pStyle w:val="Reference"/>
        <w:rPr>
          <w:rStyle w:val="normaltextrun"/>
          <w:rFonts w:cs="Arial"/>
          <w:sz w:val="18"/>
        </w:rPr>
      </w:pPr>
      <w:bookmarkStart w:id="18" w:name="_Ref174151459"/>
      <w:bookmarkStart w:id="19" w:name="_Ref189809556"/>
      <w:r w:rsidRPr="00794F4D">
        <w:rPr>
          <w:rStyle w:val="normaltextrun"/>
          <w:rFonts w:cs="Arial"/>
          <w:bCs/>
          <w:color w:val="000000"/>
          <w:sz w:val="18"/>
          <w:shd w:val="clear" w:color="auto" w:fill="FFFFFF"/>
        </w:rPr>
        <w:t>RP-210903</w:t>
      </w:r>
      <w:r w:rsidRPr="00794F4D">
        <w:rPr>
          <w:rStyle w:val="eop"/>
          <w:rFonts w:cs="Arial"/>
          <w:color w:val="000000"/>
          <w:sz w:val="18"/>
          <w:shd w:val="clear" w:color="auto" w:fill="FFFFFF"/>
        </w:rPr>
        <w:t> </w:t>
      </w:r>
      <w:r w:rsidRPr="00794F4D">
        <w:rPr>
          <w:rFonts w:cs="Arial"/>
          <w:sz w:val="18"/>
        </w:rPr>
        <w:t>,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p w14:paraId="69E36603" w14:textId="178BF014" w:rsidR="00B53889" w:rsidRDefault="00B53889" w:rsidP="00C57B5F">
      <w:pPr>
        <w:pStyle w:val="Reference"/>
        <w:rPr>
          <w:rFonts w:cs="Arial"/>
          <w:sz w:val="18"/>
        </w:rPr>
      </w:pPr>
      <w:r w:rsidRPr="00B53889">
        <w:rPr>
          <w:rFonts w:cs="Arial"/>
          <w:sz w:val="18"/>
        </w:rPr>
        <w:t xml:space="preserve">P. Meissner, C. Steiner, and K. </w:t>
      </w:r>
      <w:proofErr w:type="spellStart"/>
      <w:r w:rsidRPr="00B53889">
        <w:rPr>
          <w:rFonts w:cs="Arial"/>
          <w:sz w:val="18"/>
        </w:rPr>
        <w:t>Witrisal</w:t>
      </w:r>
      <w:proofErr w:type="spellEnd"/>
      <w:r w:rsidRPr="00B53889">
        <w:rPr>
          <w:rFonts w:cs="Arial"/>
          <w:sz w:val="18"/>
        </w:rPr>
        <w:t>, “UWB positioning with virtual anchors and floor plan information,” in Workshop on Positioning,</w:t>
      </w:r>
      <w:r>
        <w:rPr>
          <w:rFonts w:cs="Arial"/>
          <w:sz w:val="18"/>
        </w:rPr>
        <w:t xml:space="preserve"> </w:t>
      </w:r>
      <w:r w:rsidRPr="00B53889">
        <w:rPr>
          <w:rFonts w:cs="Arial"/>
          <w:sz w:val="18"/>
        </w:rPr>
        <w:t>Navigation and Communication, WPNC, Dresden, Germany, Mar. 2010.</w:t>
      </w:r>
    </w:p>
    <w:p w14:paraId="6E85EA88" w14:textId="274F7F47" w:rsidR="00B53889" w:rsidRPr="00B53889" w:rsidRDefault="00B53889" w:rsidP="00C57B5F">
      <w:pPr>
        <w:pStyle w:val="Reference"/>
        <w:rPr>
          <w:rFonts w:cs="Arial"/>
          <w:sz w:val="18"/>
        </w:rPr>
      </w:pPr>
      <w:r w:rsidRPr="00B53889">
        <w:rPr>
          <w:rFonts w:cs="Arial"/>
          <w:sz w:val="18"/>
        </w:rPr>
        <w:t xml:space="preserve">K. </w:t>
      </w:r>
      <w:proofErr w:type="spellStart"/>
      <w:r w:rsidRPr="00B53889">
        <w:rPr>
          <w:rFonts w:cs="Arial"/>
          <w:sz w:val="18"/>
        </w:rPr>
        <w:t>Witrisal</w:t>
      </w:r>
      <w:proofErr w:type="spellEnd"/>
      <w:r w:rsidRPr="00B53889">
        <w:rPr>
          <w:rFonts w:cs="Arial"/>
          <w:sz w:val="18"/>
        </w:rPr>
        <w:t xml:space="preserve"> </w:t>
      </w:r>
      <w:r>
        <w:rPr>
          <w:rFonts w:cs="Arial"/>
          <w:sz w:val="18"/>
        </w:rPr>
        <w:t xml:space="preserve"> and </w:t>
      </w:r>
      <w:r w:rsidRPr="00B53889">
        <w:rPr>
          <w:rFonts w:cs="Arial"/>
          <w:sz w:val="18"/>
        </w:rPr>
        <w:t>P. Meissner, “Performance Bounds for Multipath-assisted Indoor Navigation and Tracking (MINT)”</w:t>
      </w:r>
      <w:r>
        <w:rPr>
          <w:rFonts w:cs="Arial"/>
          <w:sz w:val="18"/>
        </w:rPr>
        <w:t>, in IEEE International Communications Conference 2012.</w:t>
      </w:r>
    </w:p>
    <w:bookmarkEnd w:id="18"/>
    <w:bookmarkEnd w:id="19"/>
    <w:p w14:paraId="793F3D49"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15C5E" w14:textId="77777777" w:rsidR="001832C8" w:rsidRDefault="001832C8">
      <w:r>
        <w:separator/>
      </w:r>
    </w:p>
  </w:endnote>
  <w:endnote w:type="continuationSeparator" w:id="0">
    <w:p w14:paraId="2D2FEAB6" w14:textId="77777777" w:rsidR="001832C8" w:rsidRDefault="001832C8">
      <w:r>
        <w:continuationSeparator/>
      </w:r>
    </w:p>
  </w:endnote>
  <w:endnote w:type="continuationNotice" w:id="1">
    <w:p w14:paraId="5E4F3F35" w14:textId="77777777" w:rsidR="001832C8" w:rsidRDefault="00183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BBE6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32C20" w14:textId="77777777" w:rsidR="001832C8" w:rsidRDefault="001832C8">
      <w:r>
        <w:separator/>
      </w:r>
    </w:p>
  </w:footnote>
  <w:footnote w:type="continuationSeparator" w:id="0">
    <w:p w14:paraId="0B90E9E9" w14:textId="77777777" w:rsidR="001832C8" w:rsidRDefault="001832C8">
      <w:r>
        <w:continuationSeparator/>
      </w:r>
    </w:p>
  </w:footnote>
  <w:footnote w:type="continuationNotice" w:id="1">
    <w:p w14:paraId="76E553AD" w14:textId="77777777" w:rsidR="001832C8" w:rsidRDefault="001832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CE73F"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A2C8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3673E4"/>
    <w:multiLevelType w:val="multilevel"/>
    <w:tmpl w:val="6E24BE1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581155B"/>
    <w:multiLevelType w:val="hybridMultilevel"/>
    <w:tmpl w:val="55B8F64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6"/>
  </w:num>
  <w:num w:numId="18">
    <w:abstractNumId w:val="7"/>
  </w:num>
  <w:num w:numId="19">
    <w:abstractNumId w:val="5"/>
  </w:num>
  <w:num w:numId="20">
    <w:abstractNumId w:val="25"/>
  </w:num>
  <w:num w:numId="21">
    <w:abstractNumId w:val="12"/>
  </w:num>
  <w:num w:numId="22">
    <w:abstractNumId w:val="24"/>
  </w:num>
  <w:num w:numId="2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6"/>
  </w:num>
  <w:num w:numId="26">
    <w:abstractNumId w:val="23"/>
  </w:num>
  <w:num w:numId="27">
    <w:abstractNumId w:val="4"/>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F07"/>
    <w:rsid w:val="000006E1"/>
    <w:rsid w:val="00002A37"/>
    <w:rsid w:val="0000564C"/>
    <w:rsid w:val="00006446"/>
    <w:rsid w:val="00006896"/>
    <w:rsid w:val="00007CDC"/>
    <w:rsid w:val="00011B28"/>
    <w:rsid w:val="00015D15"/>
    <w:rsid w:val="0002382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CAF"/>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32C8"/>
    <w:rsid w:val="001863AD"/>
    <w:rsid w:val="00190AC1"/>
    <w:rsid w:val="0019341A"/>
    <w:rsid w:val="00197DF9"/>
    <w:rsid w:val="001A1987"/>
    <w:rsid w:val="001A2564"/>
    <w:rsid w:val="001A6173"/>
    <w:rsid w:val="001A6CBA"/>
    <w:rsid w:val="001B0D97"/>
    <w:rsid w:val="001B5A5D"/>
    <w:rsid w:val="001C1CE5"/>
    <w:rsid w:val="001C3D2A"/>
    <w:rsid w:val="001D51BA"/>
    <w:rsid w:val="001D53E7"/>
    <w:rsid w:val="001D578F"/>
    <w:rsid w:val="001D6342"/>
    <w:rsid w:val="001D6D53"/>
    <w:rsid w:val="001E58E2"/>
    <w:rsid w:val="001E7AED"/>
    <w:rsid w:val="001F3916"/>
    <w:rsid w:val="001F54C5"/>
    <w:rsid w:val="001F5693"/>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ABE"/>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269"/>
    <w:rsid w:val="00286ACD"/>
    <w:rsid w:val="00286EFC"/>
    <w:rsid w:val="00287838"/>
    <w:rsid w:val="002907B5"/>
    <w:rsid w:val="00292EB7"/>
    <w:rsid w:val="00296227"/>
    <w:rsid w:val="00296F44"/>
    <w:rsid w:val="0029777D"/>
    <w:rsid w:val="002A055E"/>
    <w:rsid w:val="002A1D4E"/>
    <w:rsid w:val="002A248E"/>
    <w:rsid w:val="002A2869"/>
    <w:rsid w:val="002A7798"/>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59A"/>
    <w:rsid w:val="00357380"/>
    <w:rsid w:val="003602D9"/>
    <w:rsid w:val="003604CE"/>
    <w:rsid w:val="00362B02"/>
    <w:rsid w:val="00367F78"/>
    <w:rsid w:val="00370E47"/>
    <w:rsid w:val="003742AC"/>
    <w:rsid w:val="00377CE1"/>
    <w:rsid w:val="003818AD"/>
    <w:rsid w:val="003823DA"/>
    <w:rsid w:val="00385BF0"/>
    <w:rsid w:val="003939FF"/>
    <w:rsid w:val="003A0BEC"/>
    <w:rsid w:val="003A2223"/>
    <w:rsid w:val="003A2A0F"/>
    <w:rsid w:val="003A45A1"/>
    <w:rsid w:val="003A5B0A"/>
    <w:rsid w:val="003A5E18"/>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2A3"/>
    <w:rsid w:val="004431DC"/>
    <w:rsid w:val="00444F56"/>
    <w:rsid w:val="00446488"/>
    <w:rsid w:val="004517AA"/>
    <w:rsid w:val="00452CAC"/>
    <w:rsid w:val="00457565"/>
    <w:rsid w:val="00457B71"/>
    <w:rsid w:val="004669E2"/>
    <w:rsid w:val="00470C31"/>
    <w:rsid w:val="00471DE0"/>
    <w:rsid w:val="004734D0"/>
    <w:rsid w:val="0047556B"/>
    <w:rsid w:val="00477768"/>
    <w:rsid w:val="0049162B"/>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0DC0"/>
    <w:rsid w:val="00506557"/>
    <w:rsid w:val="0050677A"/>
    <w:rsid w:val="005108D8"/>
    <w:rsid w:val="005116F9"/>
    <w:rsid w:val="005153A7"/>
    <w:rsid w:val="005219CF"/>
    <w:rsid w:val="00534B59"/>
    <w:rsid w:val="00536759"/>
    <w:rsid w:val="00537C62"/>
    <w:rsid w:val="00546970"/>
    <w:rsid w:val="00554E19"/>
    <w:rsid w:val="0056121F"/>
    <w:rsid w:val="005640C9"/>
    <w:rsid w:val="00572505"/>
    <w:rsid w:val="00582809"/>
    <w:rsid w:val="00582FE3"/>
    <w:rsid w:val="0058798C"/>
    <w:rsid w:val="005900FA"/>
    <w:rsid w:val="005935A4"/>
    <w:rsid w:val="005948C2"/>
    <w:rsid w:val="00595DCA"/>
    <w:rsid w:val="0059779B"/>
    <w:rsid w:val="005A209A"/>
    <w:rsid w:val="005A662D"/>
    <w:rsid w:val="005B00E9"/>
    <w:rsid w:val="005B1409"/>
    <w:rsid w:val="005B35D7"/>
    <w:rsid w:val="005B392A"/>
    <w:rsid w:val="005B3AA3"/>
    <w:rsid w:val="005B6F83"/>
    <w:rsid w:val="005C74FB"/>
    <w:rsid w:val="005D1602"/>
    <w:rsid w:val="005D7548"/>
    <w:rsid w:val="005E385F"/>
    <w:rsid w:val="005E5B81"/>
    <w:rsid w:val="005F2CB1"/>
    <w:rsid w:val="005F3025"/>
    <w:rsid w:val="005F618C"/>
    <w:rsid w:val="005F70BD"/>
    <w:rsid w:val="00602464"/>
    <w:rsid w:val="0060283C"/>
    <w:rsid w:val="00602977"/>
    <w:rsid w:val="00604F14"/>
    <w:rsid w:val="0061001E"/>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2355"/>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DE0"/>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79C"/>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98"/>
    <w:rsid w:val="007A58A6"/>
    <w:rsid w:val="007B3D2D"/>
    <w:rsid w:val="007B50AE"/>
    <w:rsid w:val="007B51DF"/>
    <w:rsid w:val="007C05DD"/>
    <w:rsid w:val="007C3D18"/>
    <w:rsid w:val="007C60BF"/>
    <w:rsid w:val="007C6A07"/>
    <w:rsid w:val="007C75A1"/>
    <w:rsid w:val="007C77A5"/>
    <w:rsid w:val="007D04E5"/>
    <w:rsid w:val="007D4AA0"/>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CAF"/>
    <w:rsid w:val="00825C42"/>
    <w:rsid w:val="00825D25"/>
    <w:rsid w:val="00827D6F"/>
    <w:rsid w:val="008327CC"/>
    <w:rsid w:val="008376AC"/>
    <w:rsid w:val="008444E8"/>
    <w:rsid w:val="00844E80"/>
    <w:rsid w:val="00846FE7"/>
    <w:rsid w:val="00856911"/>
    <w:rsid w:val="00864205"/>
    <w:rsid w:val="00865302"/>
    <w:rsid w:val="008677FD"/>
    <w:rsid w:val="008706D4"/>
    <w:rsid w:val="00870F8A"/>
    <w:rsid w:val="00871884"/>
    <w:rsid w:val="008719A4"/>
    <w:rsid w:val="00871D23"/>
    <w:rsid w:val="00874312"/>
    <w:rsid w:val="0087437C"/>
    <w:rsid w:val="00875CD7"/>
    <w:rsid w:val="00876B4D"/>
    <w:rsid w:val="00877F18"/>
    <w:rsid w:val="008941E3"/>
    <w:rsid w:val="00894A88"/>
    <w:rsid w:val="00895386"/>
    <w:rsid w:val="00895AAC"/>
    <w:rsid w:val="008A21FF"/>
    <w:rsid w:val="008A2CE2"/>
    <w:rsid w:val="008A30AC"/>
    <w:rsid w:val="008A44B8"/>
    <w:rsid w:val="008A51A8"/>
    <w:rsid w:val="008A54C7"/>
    <w:rsid w:val="008A77D8"/>
    <w:rsid w:val="008B0483"/>
    <w:rsid w:val="008B120C"/>
    <w:rsid w:val="008B32F7"/>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072EC"/>
    <w:rsid w:val="00910B7D"/>
    <w:rsid w:val="00911DFB"/>
    <w:rsid w:val="009139D9"/>
    <w:rsid w:val="00914AD8"/>
    <w:rsid w:val="00916079"/>
    <w:rsid w:val="00917333"/>
    <w:rsid w:val="00917CE9"/>
    <w:rsid w:val="0092007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CE6"/>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70DE"/>
    <w:rsid w:val="00A41E2B"/>
    <w:rsid w:val="00A45B74"/>
    <w:rsid w:val="00A52E1D"/>
    <w:rsid w:val="00A61499"/>
    <w:rsid w:val="00A62A77"/>
    <w:rsid w:val="00A63483"/>
    <w:rsid w:val="00A657D7"/>
    <w:rsid w:val="00A660AC"/>
    <w:rsid w:val="00A67E6C"/>
    <w:rsid w:val="00A71B99"/>
    <w:rsid w:val="00A739D0"/>
    <w:rsid w:val="00A761D4"/>
    <w:rsid w:val="00A77EC4"/>
    <w:rsid w:val="00A874F6"/>
    <w:rsid w:val="00A92879"/>
    <w:rsid w:val="00A9442A"/>
    <w:rsid w:val="00AA016F"/>
    <w:rsid w:val="00AA1ED6"/>
    <w:rsid w:val="00AA51D6"/>
    <w:rsid w:val="00AA79A4"/>
    <w:rsid w:val="00AB0BC8"/>
    <w:rsid w:val="00AB11CA"/>
    <w:rsid w:val="00AB14D9"/>
    <w:rsid w:val="00AB3BD8"/>
    <w:rsid w:val="00AB3CEE"/>
    <w:rsid w:val="00AB4AB8"/>
    <w:rsid w:val="00AB655E"/>
    <w:rsid w:val="00AC007F"/>
    <w:rsid w:val="00AC0658"/>
    <w:rsid w:val="00AC2ECD"/>
    <w:rsid w:val="00AC3119"/>
    <w:rsid w:val="00AC49FB"/>
    <w:rsid w:val="00AC5A10"/>
    <w:rsid w:val="00AD0AA3"/>
    <w:rsid w:val="00AD3F94"/>
    <w:rsid w:val="00AD420B"/>
    <w:rsid w:val="00AD4A5A"/>
    <w:rsid w:val="00AE27AC"/>
    <w:rsid w:val="00AE40E0"/>
    <w:rsid w:val="00AE4DBA"/>
    <w:rsid w:val="00AE4F07"/>
    <w:rsid w:val="00AF1C5D"/>
    <w:rsid w:val="00AF42D7"/>
    <w:rsid w:val="00B00198"/>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3889"/>
    <w:rsid w:val="00B5405B"/>
    <w:rsid w:val="00B548B7"/>
    <w:rsid w:val="00B5553E"/>
    <w:rsid w:val="00B5628C"/>
    <w:rsid w:val="00B664C7"/>
    <w:rsid w:val="00B739F6"/>
    <w:rsid w:val="00B81A6C"/>
    <w:rsid w:val="00B85CA2"/>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7B"/>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1C8D"/>
    <w:rsid w:val="00C473A5"/>
    <w:rsid w:val="00C51779"/>
    <w:rsid w:val="00C54995"/>
    <w:rsid w:val="00C54D41"/>
    <w:rsid w:val="00C57B5F"/>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D7C24"/>
    <w:rsid w:val="00CE0424"/>
    <w:rsid w:val="00CE7503"/>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5F48"/>
    <w:rsid w:val="00D36E71"/>
    <w:rsid w:val="00D37D87"/>
    <w:rsid w:val="00D40B33"/>
    <w:rsid w:val="00D4318F"/>
    <w:rsid w:val="00D438BF"/>
    <w:rsid w:val="00D440F8"/>
    <w:rsid w:val="00D546FF"/>
    <w:rsid w:val="00D55AD5"/>
    <w:rsid w:val="00D576CA"/>
    <w:rsid w:val="00D61AF5"/>
    <w:rsid w:val="00D652B5"/>
    <w:rsid w:val="00D66155"/>
    <w:rsid w:val="00D708B0"/>
    <w:rsid w:val="00D74E79"/>
    <w:rsid w:val="00D77B1D"/>
    <w:rsid w:val="00D8021F"/>
    <w:rsid w:val="00D80383"/>
    <w:rsid w:val="00D823C6"/>
    <w:rsid w:val="00D8327F"/>
    <w:rsid w:val="00D86CA3"/>
    <w:rsid w:val="00D871CE"/>
    <w:rsid w:val="00D9196D"/>
    <w:rsid w:val="00D92982"/>
    <w:rsid w:val="00D9310F"/>
    <w:rsid w:val="00DA305E"/>
    <w:rsid w:val="00DA5417"/>
    <w:rsid w:val="00DA56E8"/>
    <w:rsid w:val="00DA679D"/>
    <w:rsid w:val="00DB0A9F"/>
    <w:rsid w:val="00DB377D"/>
    <w:rsid w:val="00DB53CD"/>
    <w:rsid w:val="00DC2D36"/>
    <w:rsid w:val="00DC53EF"/>
    <w:rsid w:val="00DE5608"/>
    <w:rsid w:val="00DE58D0"/>
    <w:rsid w:val="00DE654F"/>
    <w:rsid w:val="00DF0B6E"/>
    <w:rsid w:val="00DF15E0"/>
    <w:rsid w:val="00DF37A0"/>
    <w:rsid w:val="00E110E7"/>
    <w:rsid w:val="00E11B20"/>
    <w:rsid w:val="00E12B9C"/>
    <w:rsid w:val="00E1734F"/>
    <w:rsid w:val="00E17FA2"/>
    <w:rsid w:val="00E22330"/>
    <w:rsid w:val="00E30B5A"/>
    <w:rsid w:val="00E3123D"/>
    <w:rsid w:val="00E31461"/>
    <w:rsid w:val="00E31D43"/>
    <w:rsid w:val="00E32608"/>
    <w:rsid w:val="00E34188"/>
    <w:rsid w:val="00E34B6E"/>
    <w:rsid w:val="00E35559"/>
    <w:rsid w:val="00E3723A"/>
    <w:rsid w:val="00E37860"/>
    <w:rsid w:val="00E423B8"/>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CED"/>
    <w:rsid w:val="00EB4EA2"/>
    <w:rsid w:val="00EC24D5"/>
    <w:rsid w:val="00EC27C6"/>
    <w:rsid w:val="00EC4207"/>
    <w:rsid w:val="00EC5653"/>
    <w:rsid w:val="00EC71CE"/>
    <w:rsid w:val="00ED1006"/>
    <w:rsid w:val="00EE047D"/>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216"/>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94B"/>
    <w:rsid w:val="00FB4C80"/>
    <w:rsid w:val="00FB6A6A"/>
    <w:rsid w:val="00FC7429"/>
    <w:rsid w:val="00FD07F6"/>
    <w:rsid w:val="00FD1EC8"/>
    <w:rsid w:val="00FD47ED"/>
    <w:rsid w:val="00FD74DB"/>
    <w:rsid w:val="00FD7660"/>
    <w:rsid w:val="00FE0655"/>
    <w:rsid w:val="00FE2365"/>
    <w:rsid w:val="00FE37D7"/>
    <w:rsid w:val="00FE4270"/>
    <w:rsid w:val="00FE4C7B"/>
    <w:rsid w:val="00FE7336"/>
    <w:rsid w:val="00FE787C"/>
    <w:rsid w:val="00FF1F07"/>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AA1B8FE"/>
  <w15:chartTrackingRefBased/>
  <w15:docId w15:val="{ACCAAB2C-01A5-4DCA-8BC2-CE8F8217F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4"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3GPPTextChar">
    <w:name w:val="3GPP Text Char"/>
    <w:link w:val="3GPPText"/>
    <w:qFormat/>
    <w:locked/>
    <w:rsid w:val="00285269"/>
    <w:rPr>
      <w:lang w:eastAsia="en-US"/>
    </w:rPr>
  </w:style>
  <w:style w:type="paragraph" w:customStyle="1" w:styleId="3GPPText">
    <w:name w:val="3GPP Text"/>
    <w:basedOn w:val="Normal"/>
    <w:link w:val="3GPPTextChar"/>
    <w:qFormat/>
    <w:rsid w:val="00285269"/>
    <w:pPr>
      <w:adjustRightInd/>
      <w:spacing w:before="120" w:after="120"/>
      <w:jc w:val="both"/>
      <w:textAlignment w:val="auto"/>
    </w:pPr>
    <w:rPr>
      <w:rFonts w:ascii="CG Times (WN)" w:hAnsi="CG Times (WN)"/>
      <w:lang w:eastAsia="en-US"/>
    </w:rPr>
  </w:style>
  <w:style w:type="character" w:customStyle="1" w:styleId="3GPPAgreementsChar">
    <w:name w:val="3GPP Agreements Char"/>
    <w:link w:val="3GPPAgreements"/>
    <w:uiPriority w:val="99"/>
    <w:qFormat/>
    <w:locked/>
    <w:rsid w:val="00285269"/>
    <w:rPr>
      <w:rFonts w:eastAsiaTheme="minorHAnsi"/>
    </w:rPr>
  </w:style>
  <w:style w:type="paragraph" w:customStyle="1" w:styleId="3GPPAgreements">
    <w:name w:val="3GPP Agreements"/>
    <w:basedOn w:val="Normal"/>
    <w:link w:val="3GPPAgreementsChar"/>
    <w:uiPriority w:val="99"/>
    <w:qFormat/>
    <w:rsid w:val="00285269"/>
    <w:pPr>
      <w:numPr>
        <w:numId w:val="23"/>
      </w:numPr>
      <w:overflowPunct/>
      <w:autoSpaceDE/>
      <w:autoSpaceDN/>
      <w:adjustRightInd/>
      <w:spacing w:before="60" w:after="60" w:line="256" w:lineRule="auto"/>
      <w:jc w:val="both"/>
      <w:textAlignment w:val="auto"/>
    </w:pPr>
    <w:rPr>
      <w:rFonts w:ascii="CG Times (WN)" w:eastAsiaTheme="minorHAnsi" w:hAnsi="CG Times (WN)"/>
      <w:lang w:eastAsia="en-GB"/>
    </w:rPr>
  </w:style>
  <w:style w:type="character" w:customStyle="1" w:styleId="normaltextrun">
    <w:name w:val="normaltextrun"/>
    <w:basedOn w:val="DefaultParagraphFont"/>
    <w:rsid w:val="00B85CA2"/>
  </w:style>
  <w:style w:type="character" w:customStyle="1" w:styleId="eop">
    <w:name w:val="eop"/>
    <w:basedOn w:val="DefaultParagraphFont"/>
    <w:rsid w:val="00B85CA2"/>
  </w:style>
  <w:style w:type="paragraph" w:styleId="ListNumber4">
    <w:name w:val="List Number 4"/>
    <w:basedOn w:val="Normal"/>
    <w:uiPriority w:val="99"/>
    <w:unhideWhenUsed/>
    <w:rsid w:val="00247ABE"/>
    <w:pPr>
      <w:numPr>
        <w:numId w:val="28"/>
      </w:numPr>
      <w:tabs>
        <w:tab w:val="num" w:pos="1209"/>
      </w:tabs>
      <w:overflowPunct/>
      <w:autoSpaceDE/>
      <w:autoSpaceDN/>
      <w:adjustRightInd/>
      <w:spacing w:after="160" w:line="256" w:lineRule="auto"/>
      <w:ind w:left="1209"/>
      <w:textAlignment w:val="auto"/>
    </w:pPr>
    <w:rPr>
      <w:rFonts w:asciiTheme="minorHAnsi" w:eastAsia="MS Mincho" w:hAnsiTheme="minorHAnsi" w:cstheme="minorBidi"/>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87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618B3A4-BF3E-47FF-BAF4-9F35E5C7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F957788-15AA-474C-95B0-E9118F948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Ry-xxxxxxx%20Contribution%20template</Template>
  <TotalTime>0</TotalTime>
  <Pages>4</Pages>
  <Words>1849</Words>
  <Characters>9803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11629</CharactersWithSpaces>
  <SharedDoc>false</SharedDoc>
  <HLinks>
    <vt:vector size="78" baseType="variant">
      <vt:variant>
        <vt:i4>1179704</vt:i4>
      </vt:variant>
      <vt:variant>
        <vt:i4>41</vt:i4>
      </vt:variant>
      <vt:variant>
        <vt:i4>0</vt:i4>
      </vt:variant>
      <vt:variant>
        <vt:i4>5</vt:i4>
      </vt:variant>
      <vt:variant>
        <vt:lpwstr/>
      </vt:variant>
      <vt:variant>
        <vt:lpwstr>_Toc71528422</vt:lpwstr>
      </vt:variant>
      <vt:variant>
        <vt:i4>1114168</vt:i4>
      </vt:variant>
      <vt:variant>
        <vt:i4>38</vt:i4>
      </vt:variant>
      <vt:variant>
        <vt:i4>0</vt:i4>
      </vt:variant>
      <vt:variant>
        <vt:i4>5</vt:i4>
      </vt:variant>
      <vt:variant>
        <vt:lpwstr/>
      </vt:variant>
      <vt:variant>
        <vt:lpwstr>_Toc71528421</vt:lpwstr>
      </vt:variant>
      <vt:variant>
        <vt:i4>1048632</vt:i4>
      </vt:variant>
      <vt:variant>
        <vt:i4>35</vt:i4>
      </vt:variant>
      <vt:variant>
        <vt:i4>0</vt:i4>
      </vt:variant>
      <vt:variant>
        <vt:i4>5</vt:i4>
      </vt:variant>
      <vt:variant>
        <vt:lpwstr/>
      </vt:variant>
      <vt:variant>
        <vt:lpwstr>_Toc71528420</vt:lpwstr>
      </vt:variant>
      <vt:variant>
        <vt:i4>1638459</vt:i4>
      </vt:variant>
      <vt:variant>
        <vt:i4>32</vt:i4>
      </vt:variant>
      <vt:variant>
        <vt:i4>0</vt:i4>
      </vt:variant>
      <vt:variant>
        <vt:i4>5</vt:i4>
      </vt:variant>
      <vt:variant>
        <vt:lpwstr/>
      </vt:variant>
      <vt:variant>
        <vt:lpwstr>_Toc71528419</vt:lpwstr>
      </vt:variant>
      <vt:variant>
        <vt:i4>1572923</vt:i4>
      </vt:variant>
      <vt:variant>
        <vt:i4>29</vt:i4>
      </vt:variant>
      <vt:variant>
        <vt:i4>0</vt:i4>
      </vt:variant>
      <vt:variant>
        <vt:i4>5</vt:i4>
      </vt:variant>
      <vt:variant>
        <vt:lpwstr/>
      </vt:variant>
      <vt:variant>
        <vt:lpwstr>_Toc71528418</vt:lpwstr>
      </vt:variant>
      <vt:variant>
        <vt:i4>1507387</vt:i4>
      </vt:variant>
      <vt:variant>
        <vt:i4>26</vt:i4>
      </vt:variant>
      <vt:variant>
        <vt:i4>0</vt:i4>
      </vt:variant>
      <vt:variant>
        <vt:i4>5</vt:i4>
      </vt:variant>
      <vt:variant>
        <vt:lpwstr/>
      </vt:variant>
      <vt:variant>
        <vt:lpwstr>_Toc71528417</vt:lpwstr>
      </vt:variant>
      <vt:variant>
        <vt:i4>1441851</vt:i4>
      </vt:variant>
      <vt:variant>
        <vt:i4>20</vt:i4>
      </vt:variant>
      <vt:variant>
        <vt:i4>0</vt:i4>
      </vt:variant>
      <vt:variant>
        <vt:i4>5</vt:i4>
      </vt:variant>
      <vt:variant>
        <vt:lpwstr/>
      </vt:variant>
      <vt:variant>
        <vt:lpwstr>_Toc71528416</vt:lpwstr>
      </vt:variant>
      <vt:variant>
        <vt:i4>1376315</vt:i4>
      </vt:variant>
      <vt:variant>
        <vt:i4>17</vt:i4>
      </vt:variant>
      <vt:variant>
        <vt:i4>0</vt:i4>
      </vt:variant>
      <vt:variant>
        <vt:i4>5</vt:i4>
      </vt:variant>
      <vt:variant>
        <vt:lpwstr/>
      </vt:variant>
      <vt:variant>
        <vt:lpwstr>_Toc71528415</vt:lpwstr>
      </vt:variant>
      <vt:variant>
        <vt:i4>1310779</vt:i4>
      </vt:variant>
      <vt:variant>
        <vt:i4>14</vt:i4>
      </vt:variant>
      <vt:variant>
        <vt:i4>0</vt:i4>
      </vt:variant>
      <vt:variant>
        <vt:i4>5</vt:i4>
      </vt:variant>
      <vt:variant>
        <vt:lpwstr/>
      </vt:variant>
      <vt:variant>
        <vt:lpwstr>_Toc71528414</vt:lpwstr>
      </vt:variant>
      <vt:variant>
        <vt:i4>1245243</vt:i4>
      </vt:variant>
      <vt:variant>
        <vt:i4>11</vt:i4>
      </vt:variant>
      <vt:variant>
        <vt:i4>0</vt:i4>
      </vt:variant>
      <vt:variant>
        <vt:i4>5</vt:i4>
      </vt:variant>
      <vt:variant>
        <vt:lpwstr/>
      </vt:variant>
      <vt:variant>
        <vt:lpwstr>_Toc71528413</vt:lpwstr>
      </vt:variant>
      <vt:variant>
        <vt:i4>1179707</vt:i4>
      </vt:variant>
      <vt:variant>
        <vt:i4>8</vt:i4>
      </vt:variant>
      <vt:variant>
        <vt:i4>0</vt:i4>
      </vt:variant>
      <vt:variant>
        <vt:i4>5</vt:i4>
      </vt:variant>
      <vt:variant>
        <vt:lpwstr/>
      </vt:variant>
      <vt:variant>
        <vt:lpwstr>_Toc71528412</vt:lpwstr>
      </vt:variant>
      <vt:variant>
        <vt:i4>1114171</vt:i4>
      </vt:variant>
      <vt:variant>
        <vt:i4>5</vt:i4>
      </vt:variant>
      <vt:variant>
        <vt:i4>0</vt:i4>
      </vt:variant>
      <vt:variant>
        <vt:i4>5</vt:i4>
      </vt:variant>
      <vt:variant>
        <vt:lpwstr/>
      </vt:variant>
      <vt:variant>
        <vt:lpwstr>_Toc71528411</vt:lpwstr>
      </vt:variant>
      <vt:variant>
        <vt:i4>1048635</vt:i4>
      </vt:variant>
      <vt:variant>
        <vt:i4>2</vt:i4>
      </vt:variant>
      <vt:variant>
        <vt:i4>0</vt:i4>
      </vt:variant>
      <vt:variant>
        <vt:i4>5</vt:i4>
      </vt:variant>
      <vt:variant>
        <vt:lpwstr/>
      </vt:variant>
      <vt:variant>
        <vt:lpwstr>_Toc71528410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2008-01-30T22:09:00Z</cp:lastPrinted>
  <dcterms:created xsi:type="dcterms:W3CDTF">2021-05-10T20:04:00Z</dcterms:created>
  <dcterms:modified xsi:type="dcterms:W3CDTF">2021-05-10T20:04:00Z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